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keepLines/>
        <w:pageBreakBefore/>
        <w:spacing w:line="360" w:lineRule="auto"/>
        <w:jc w:val="center"/>
        <w:rPr>
          <w:rFonts w:hAnsi="宋体"/>
          <w:b/>
          <w:bCs/>
          <w:kern w:val="44"/>
          <w:sz w:val="32"/>
          <w:szCs w:val="32"/>
          <w:lang w:val="zh-CN"/>
        </w:rPr>
      </w:pPr>
      <w:r>
        <w:rPr>
          <w:rFonts w:hint="eastAsia" w:hAnsi="宋体"/>
          <w:b/>
          <w:bCs/>
          <w:kern w:val="44"/>
          <w:sz w:val="32"/>
          <w:szCs w:val="32"/>
          <w:lang w:val="zh-CN"/>
        </w:rPr>
        <w:t xml:space="preserve"> 湛江中心人民医院静脉用药调配中心加装电梯用户需求书</w:t>
      </w:r>
    </w:p>
    <w:p>
      <w:pPr>
        <w:spacing w:line="360" w:lineRule="auto"/>
        <w:rPr>
          <w:b/>
          <w:sz w:val="21"/>
          <w:szCs w:val="21"/>
        </w:rPr>
      </w:pPr>
      <w:r>
        <w:rPr>
          <w:rFonts w:hint="eastAsia"/>
          <w:b/>
          <w:sz w:val="21"/>
          <w:szCs w:val="21"/>
        </w:rPr>
        <w:t>一、合格的投标人：</w:t>
      </w:r>
    </w:p>
    <w:p>
      <w:pPr>
        <w:spacing w:line="360" w:lineRule="auto"/>
        <w:rPr>
          <w:sz w:val="21"/>
          <w:szCs w:val="21"/>
        </w:rPr>
      </w:pPr>
      <w:r>
        <w:rPr>
          <w:rFonts w:hint="eastAsia"/>
          <w:sz w:val="21"/>
          <w:szCs w:val="21"/>
        </w:rPr>
        <w:t>1、具备《政府采购法》第二十二条规定的条件；</w:t>
      </w:r>
    </w:p>
    <w:p>
      <w:pPr>
        <w:spacing w:line="360" w:lineRule="auto"/>
        <w:rPr>
          <w:sz w:val="21"/>
          <w:szCs w:val="21"/>
        </w:rPr>
      </w:pPr>
      <w:r>
        <w:rPr>
          <w:rFonts w:hint="eastAsia"/>
          <w:sz w:val="21"/>
          <w:szCs w:val="21"/>
        </w:rPr>
        <w:t>2、中华人民共和国境内注册的具有独立承担民事责任能力的法人或其他组织；</w:t>
      </w:r>
    </w:p>
    <w:p>
      <w:pPr>
        <w:spacing w:line="360" w:lineRule="auto"/>
        <w:rPr>
          <w:sz w:val="21"/>
          <w:szCs w:val="21"/>
        </w:rPr>
      </w:pPr>
      <w:r>
        <w:rPr>
          <w:rFonts w:hint="eastAsia"/>
          <w:sz w:val="21"/>
          <w:szCs w:val="21"/>
        </w:rPr>
        <w:t>3、具有有效期内的《中华人民共和国特种设备安装改造维修许可证》电梯</w:t>
      </w:r>
      <w:r>
        <w:rPr>
          <w:rFonts w:hint="eastAsia"/>
          <w:sz w:val="21"/>
          <w:szCs w:val="21"/>
          <w:lang w:val="zh-CN"/>
        </w:rPr>
        <w:t>A级或以上</w:t>
      </w:r>
      <w:r>
        <w:rPr>
          <w:rFonts w:hint="eastAsia"/>
          <w:sz w:val="21"/>
          <w:szCs w:val="21"/>
        </w:rPr>
        <w:t xml:space="preserve">； </w:t>
      </w:r>
    </w:p>
    <w:p>
      <w:pPr>
        <w:spacing w:line="360" w:lineRule="auto"/>
        <w:rPr>
          <w:sz w:val="21"/>
          <w:szCs w:val="21"/>
        </w:rPr>
      </w:pPr>
      <w:r>
        <w:rPr>
          <w:rFonts w:hint="eastAsia"/>
          <w:sz w:val="21"/>
          <w:szCs w:val="21"/>
        </w:rPr>
        <w:t>4、投标人的信用要求应符合《财政部关于在政府采购活动中查询及使用信用记录有关的通知》（财库[2016]125号）的规定（以采购人或采购代理在投标截止日当天在“信用中国”网站（www.creditchina.gov.cn）及中国政府采购网(</w:t>
      </w:r>
      <w:r>
        <w:fldChar w:fldCharType="begin"/>
      </w:r>
      <w:r>
        <w:instrText xml:space="preserve"> HYPERLINK "http://www.ccgp.gov.cn/" </w:instrText>
      </w:r>
      <w:r>
        <w:fldChar w:fldCharType="separate"/>
      </w:r>
      <w:r>
        <w:rPr>
          <w:rFonts w:hint="eastAsia"/>
          <w:sz w:val="21"/>
          <w:szCs w:val="21"/>
        </w:rPr>
        <w:t>www.ccgp.gov.cn</w:t>
      </w:r>
      <w:r>
        <w:rPr>
          <w:rFonts w:hint="eastAsia"/>
          <w:sz w:val="21"/>
          <w:szCs w:val="21"/>
        </w:rPr>
        <w:fldChar w:fldCharType="end"/>
      </w:r>
      <w:r>
        <w:rPr>
          <w:rFonts w:hint="eastAsia"/>
          <w:sz w:val="21"/>
          <w:szCs w:val="21"/>
        </w:rPr>
        <w:t>)查询结果为准)；</w:t>
      </w:r>
    </w:p>
    <w:p>
      <w:pPr>
        <w:spacing w:line="360" w:lineRule="auto"/>
        <w:rPr>
          <w:sz w:val="21"/>
          <w:szCs w:val="21"/>
        </w:rPr>
      </w:pPr>
      <w:r>
        <w:rPr>
          <w:rFonts w:hint="eastAsia"/>
          <w:sz w:val="21"/>
          <w:szCs w:val="21"/>
        </w:rPr>
        <w:t>5、本项目不接受联合体投标。</w:t>
      </w:r>
    </w:p>
    <w:p>
      <w:pPr>
        <w:rPr>
          <w:rFonts w:asciiTheme="majorEastAsia" w:hAnsiTheme="majorEastAsia" w:eastAsiaTheme="majorEastAsia"/>
          <w:b/>
          <w:sz w:val="21"/>
          <w:szCs w:val="21"/>
          <w:highlight w:val="lightGray"/>
        </w:rPr>
      </w:pPr>
    </w:p>
    <w:p>
      <w:pPr>
        <w:rPr>
          <w:rFonts w:asciiTheme="majorEastAsia" w:hAnsiTheme="majorEastAsia" w:eastAsiaTheme="majorEastAsia"/>
          <w:b/>
          <w:sz w:val="21"/>
          <w:szCs w:val="21"/>
        </w:rPr>
      </w:pPr>
      <w:r>
        <w:rPr>
          <w:rFonts w:asciiTheme="majorEastAsia" w:hAnsiTheme="majorEastAsia" w:eastAsiaTheme="majorEastAsia"/>
          <w:b/>
          <w:sz w:val="21"/>
          <w:szCs w:val="21"/>
          <w:shd w:val="pct10" w:color="auto" w:fill="FFFFFF"/>
        </w:rPr>
        <w:t>二、</w:t>
      </w:r>
      <w:r>
        <w:rPr>
          <w:rFonts w:hint="eastAsia" w:asciiTheme="majorEastAsia" w:hAnsiTheme="majorEastAsia" w:eastAsiaTheme="majorEastAsia"/>
          <w:b/>
          <w:sz w:val="21"/>
          <w:szCs w:val="21"/>
        </w:rPr>
        <w:t>施工标准和依据</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1、《建筑结构荷载规范》（GB50009--2012）</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2、《建筑抗震设计规范》GB50011</w:t>
      </w:r>
      <w:r>
        <w:rPr>
          <w:rFonts w:asciiTheme="majorEastAsia" w:hAnsiTheme="majorEastAsia" w:eastAsiaTheme="majorEastAsia"/>
          <w:sz w:val="21"/>
          <w:szCs w:val="21"/>
        </w:rPr>
        <w:t>—</w:t>
      </w:r>
      <w:r>
        <w:rPr>
          <w:rFonts w:hint="eastAsia" w:asciiTheme="majorEastAsia" w:hAnsiTheme="majorEastAsia" w:eastAsiaTheme="majorEastAsia"/>
          <w:sz w:val="21"/>
          <w:szCs w:val="21"/>
        </w:rPr>
        <w:t>2010（2016年版）</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3、《钢结构设计规范》（GB50017--2017）</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4、《冷弯薄壁型钢结构技术规范》（GB50018--2002）</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5、《钢结构工程施工质量验收规范》（GB50205--2020）</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6、《建筑设计防火规范》（GB20016--2014）(2018年版)</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7、《门式刚架轻型房屋钢结构技术规范》（GB51022--2015）</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8、《钢结构高强度螺栓连接技术规范》（JGJ82--2011）</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9、《钢结构焊接规范》（GB50661--2011）</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10、《涂装前钢材表面锈蚀等级和除锈等级》（GB8923--88）</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11、《钢结构防火涂料》（GB14907--2002）</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12、《民用建筑电气设计规范》（JGJ16--2008）</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13、《电梯制造与安装安全规范》（GB7588--2003）</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14、《电梯工程施工质量验收规范》（GB50310—2002）</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15、《电梯技术条件》（GB/T10058—97）</w:t>
      </w:r>
    </w:p>
    <w:p>
      <w:pPr>
        <w:rPr>
          <w:rFonts w:asciiTheme="majorEastAsia" w:hAnsiTheme="majorEastAsia" w:eastAsiaTheme="majorEastAsia"/>
          <w:sz w:val="21"/>
          <w:szCs w:val="21"/>
        </w:rPr>
      </w:pPr>
      <w:r>
        <w:rPr>
          <w:rFonts w:hint="eastAsia" w:asciiTheme="majorEastAsia" w:hAnsiTheme="majorEastAsia" w:eastAsiaTheme="majorEastAsia"/>
          <w:sz w:val="21"/>
          <w:szCs w:val="21"/>
        </w:rPr>
        <w:t>16、《电梯试验方法》（GB/T10059—97）</w:t>
      </w:r>
    </w:p>
    <w:p>
      <w:pPr>
        <w:pStyle w:val="2"/>
        <w:ind w:left="0" w:leftChars="0" w:firstLine="0" w:firstLineChars="0"/>
        <w:rPr>
          <w:rFonts w:asciiTheme="majorEastAsia" w:hAnsiTheme="majorEastAsia" w:eastAsiaTheme="majorEastAsia"/>
          <w:sz w:val="21"/>
          <w:szCs w:val="21"/>
        </w:rPr>
      </w:pPr>
      <w:r>
        <w:rPr>
          <w:rFonts w:hint="eastAsia" w:asciiTheme="majorEastAsia" w:hAnsiTheme="majorEastAsia" w:eastAsiaTheme="majorEastAsia"/>
          <w:sz w:val="21"/>
          <w:szCs w:val="21"/>
        </w:rPr>
        <w:t>17、《电梯安装验收规范》（GB/T10060—93）</w:t>
      </w:r>
    </w:p>
    <w:p>
      <w:pPr>
        <w:rPr>
          <w:b/>
          <w:sz w:val="21"/>
          <w:szCs w:val="21"/>
          <w:lang w:val="zh-CN"/>
        </w:rPr>
      </w:pPr>
    </w:p>
    <w:p>
      <w:pPr>
        <w:rPr>
          <w:b/>
          <w:sz w:val="21"/>
          <w:szCs w:val="21"/>
          <w:lang w:val="zh-CN"/>
        </w:rPr>
      </w:pPr>
      <w:r>
        <w:rPr>
          <w:rFonts w:hint="eastAsia"/>
          <w:b/>
          <w:sz w:val="21"/>
          <w:szCs w:val="21"/>
          <w:lang w:val="zh-CN"/>
        </w:rPr>
        <w:t>三、需求一览表</w:t>
      </w:r>
    </w:p>
    <w:p>
      <w:pPr>
        <w:ind w:firstLine="630" w:firstLineChars="300"/>
        <w:rPr>
          <w:rFonts w:asciiTheme="majorEastAsia" w:hAnsiTheme="majorEastAsia" w:eastAsiaTheme="majorEastAsia"/>
          <w:sz w:val="21"/>
          <w:szCs w:val="21"/>
        </w:rPr>
      </w:pPr>
      <w:r>
        <w:rPr>
          <w:rFonts w:hint="eastAsia" w:asciiTheme="majorEastAsia" w:hAnsiTheme="majorEastAsia" w:eastAsiaTheme="majorEastAsia"/>
          <w:sz w:val="21"/>
          <w:szCs w:val="21"/>
        </w:rPr>
        <w:t>根据2021年12月10日国家卫健委下发的《静脉用药调配中心建设与管理指南》（试行）要求及我院使用科室的需求，为了确保静脉用药调配中心药品在楼层转运过程中不受到污染和方便配送，需在原预留区加装一台无机房的乘货兼用的电梯。</w:t>
      </w:r>
    </w:p>
    <w:p>
      <w:pPr>
        <w:rPr>
          <w:rFonts w:asciiTheme="minorEastAsia" w:hAnsiTheme="minorEastAsia" w:eastAsiaTheme="minorEastAsia"/>
          <w:b/>
          <w:sz w:val="21"/>
          <w:szCs w:val="21"/>
        </w:rPr>
      </w:pPr>
    </w:p>
    <w:p>
      <w:pPr>
        <w:rPr>
          <w:rFonts w:asciiTheme="minorEastAsia" w:hAnsiTheme="minorEastAsia" w:eastAsiaTheme="minorEastAsia"/>
          <w:b/>
          <w:sz w:val="21"/>
          <w:szCs w:val="21"/>
        </w:rPr>
      </w:pPr>
      <w:r>
        <w:rPr>
          <w:rFonts w:hint="eastAsia" w:asciiTheme="minorEastAsia" w:hAnsiTheme="minorEastAsia" w:eastAsiaTheme="minorEastAsia"/>
          <w:b/>
          <w:sz w:val="21"/>
          <w:szCs w:val="21"/>
        </w:rPr>
        <w:t>四、①项目内容</w:t>
      </w:r>
    </w:p>
    <w:p>
      <w:pPr>
        <w:rPr>
          <w:rFonts w:asciiTheme="minorEastAsia" w:hAnsiTheme="minorEastAsia" w:eastAsiaTheme="minorEastAsia"/>
          <w:sz w:val="21"/>
          <w:szCs w:val="21"/>
        </w:rPr>
      </w:pPr>
    </w:p>
    <w:p>
      <w:pPr>
        <w:rPr>
          <w:rFonts w:asciiTheme="minorEastAsia" w:hAnsiTheme="minorEastAsia" w:eastAsiaTheme="minorEastAsia"/>
          <w:sz w:val="21"/>
          <w:szCs w:val="21"/>
        </w:rPr>
      </w:pPr>
    </w:p>
    <w:p>
      <w:pPr>
        <w:rPr>
          <w:rFonts w:asciiTheme="minorEastAsia" w:hAnsiTheme="minorEastAsia" w:eastAsiaTheme="minorEastAsia"/>
          <w:sz w:val="21"/>
          <w:szCs w:val="21"/>
        </w:rPr>
      </w:pPr>
    </w:p>
    <w:p>
      <w:pPr>
        <w:rPr>
          <w:rFonts w:asciiTheme="minorEastAsia" w:hAnsiTheme="minorEastAsia" w:eastAsiaTheme="minorEastAsia"/>
          <w:sz w:val="21"/>
          <w:szCs w:val="21"/>
        </w:rPr>
      </w:pPr>
    </w:p>
    <w:p>
      <w:pPr>
        <w:rPr>
          <w:rFonts w:asciiTheme="minorEastAsia" w:hAnsiTheme="minorEastAsia" w:eastAsiaTheme="minorEastAsia"/>
          <w:b/>
          <w:sz w:val="21"/>
          <w:szCs w:val="21"/>
        </w:rPr>
      </w:pPr>
      <w:r>
        <w:rPr>
          <w:rFonts w:hint="eastAsia" w:asciiTheme="minorEastAsia" w:hAnsiTheme="minorEastAsia" w:eastAsiaTheme="minorEastAsia"/>
          <w:sz w:val="21"/>
          <w:szCs w:val="21"/>
        </w:rPr>
        <w:t>1．电梯土建主体部分</w:t>
      </w:r>
    </w:p>
    <w:tbl>
      <w:tblPr>
        <w:tblStyle w:val="7"/>
        <w:tblW w:w="8894" w:type="dxa"/>
        <w:jc w:val="center"/>
        <w:tblBorders>
          <w:top w:val="double" w:color="auto" w:sz="6" w:space="0"/>
          <w:left w:val="double" w:color="auto" w:sz="6" w:space="0"/>
          <w:bottom w:val="double" w:color="auto" w:sz="6" w:space="0"/>
          <w:right w:val="double" w:color="auto" w:sz="6" w:space="0"/>
          <w:insideH w:val="single" w:color="auto" w:sz="4" w:space="0"/>
          <w:insideV w:val="single" w:color="auto" w:sz="4" w:space="0"/>
        </w:tblBorders>
        <w:tblLayout w:type="fixed"/>
        <w:tblCellMar>
          <w:top w:w="0" w:type="dxa"/>
          <w:left w:w="108" w:type="dxa"/>
          <w:bottom w:w="0" w:type="dxa"/>
          <w:right w:w="108" w:type="dxa"/>
        </w:tblCellMar>
      </w:tblPr>
      <w:tblGrid>
        <w:gridCol w:w="2704"/>
        <w:gridCol w:w="1116"/>
        <w:gridCol w:w="2711"/>
        <w:gridCol w:w="2363"/>
      </w:tblGrid>
      <w:tr>
        <w:tblPrEx>
          <w:tblBorders>
            <w:top w:val="double" w:color="auto" w:sz="6" w:space="0"/>
            <w:left w:val="double" w:color="auto" w:sz="6" w:space="0"/>
            <w:bottom w:val="double" w:color="auto" w:sz="6" w:space="0"/>
            <w:right w:val="double" w:color="auto" w:sz="6"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2704" w:type="dxa"/>
            <w:noWrap/>
            <w:vAlign w:val="center"/>
          </w:tcPr>
          <w:p>
            <w:pPr>
              <w:jc w:val="center"/>
              <w:rPr>
                <w:sz w:val="21"/>
                <w:szCs w:val="21"/>
              </w:rPr>
            </w:pPr>
            <w:r>
              <w:rPr>
                <w:rFonts w:hint="eastAsia"/>
                <w:sz w:val="21"/>
                <w:szCs w:val="21"/>
              </w:rPr>
              <w:t>名称</w:t>
            </w:r>
          </w:p>
        </w:tc>
        <w:tc>
          <w:tcPr>
            <w:tcW w:w="1116" w:type="dxa"/>
            <w:noWrap/>
            <w:vAlign w:val="center"/>
          </w:tcPr>
          <w:p>
            <w:pPr>
              <w:jc w:val="center"/>
              <w:rPr>
                <w:sz w:val="21"/>
                <w:szCs w:val="21"/>
              </w:rPr>
            </w:pPr>
            <w:r>
              <w:rPr>
                <w:rFonts w:hint="eastAsia"/>
                <w:sz w:val="21"/>
                <w:szCs w:val="21"/>
              </w:rPr>
              <w:t>数量</w:t>
            </w:r>
          </w:p>
        </w:tc>
        <w:tc>
          <w:tcPr>
            <w:tcW w:w="2711" w:type="dxa"/>
            <w:noWrap/>
            <w:vAlign w:val="center"/>
          </w:tcPr>
          <w:p>
            <w:pPr>
              <w:jc w:val="center"/>
              <w:rPr>
                <w:sz w:val="21"/>
                <w:szCs w:val="21"/>
              </w:rPr>
            </w:pPr>
            <w:r>
              <w:rPr>
                <w:rFonts w:hint="eastAsia"/>
                <w:sz w:val="21"/>
                <w:szCs w:val="21"/>
              </w:rPr>
              <w:t>交货时间</w:t>
            </w:r>
          </w:p>
        </w:tc>
        <w:tc>
          <w:tcPr>
            <w:tcW w:w="2363" w:type="dxa"/>
            <w:noWrap/>
            <w:vAlign w:val="center"/>
          </w:tcPr>
          <w:p>
            <w:pPr>
              <w:jc w:val="center"/>
              <w:rPr>
                <w:sz w:val="21"/>
                <w:szCs w:val="21"/>
              </w:rPr>
            </w:pPr>
            <w:r>
              <w:rPr>
                <w:rFonts w:hint="eastAsia"/>
                <w:sz w:val="21"/>
                <w:szCs w:val="21"/>
              </w:rPr>
              <w:t>最高限价</w:t>
            </w:r>
          </w:p>
        </w:tc>
      </w:tr>
      <w:tr>
        <w:tblPrEx>
          <w:tblBorders>
            <w:top w:val="double" w:color="auto" w:sz="6" w:space="0"/>
            <w:left w:val="double" w:color="auto" w:sz="6" w:space="0"/>
            <w:bottom w:val="double" w:color="auto" w:sz="6" w:space="0"/>
            <w:right w:val="double" w:color="auto" w:sz="6" w:space="0"/>
            <w:insideH w:val="single" w:color="auto" w:sz="4" w:space="0"/>
            <w:insideV w:val="single" w:color="auto" w:sz="4" w:space="0"/>
          </w:tblBorders>
          <w:tblCellMar>
            <w:top w:w="0" w:type="dxa"/>
            <w:left w:w="108" w:type="dxa"/>
            <w:bottom w:w="0" w:type="dxa"/>
            <w:right w:w="108" w:type="dxa"/>
          </w:tblCellMar>
        </w:tblPrEx>
        <w:trPr>
          <w:cantSplit/>
          <w:trHeight w:val="1135" w:hRule="atLeast"/>
          <w:jc w:val="center"/>
        </w:trPr>
        <w:tc>
          <w:tcPr>
            <w:tcW w:w="2704" w:type="dxa"/>
            <w:noWrap/>
            <w:vAlign w:val="center"/>
          </w:tcPr>
          <w:p>
            <w:pPr>
              <w:jc w:val="center"/>
              <w:rPr>
                <w:sz w:val="21"/>
                <w:szCs w:val="21"/>
              </w:rPr>
            </w:pPr>
            <w:r>
              <w:rPr>
                <w:sz w:val="21"/>
                <w:szCs w:val="21"/>
              </w:rPr>
              <w:t>湛江中心人民医院静脉用药</w:t>
            </w:r>
            <w:r>
              <w:rPr>
                <w:rFonts w:hint="eastAsia"/>
                <w:sz w:val="21"/>
                <w:szCs w:val="21"/>
              </w:rPr>
              <w:t>调配中心加装电梯钢结构井道</w:t>
            </w:r>
          </w:p>
        </w:tc>
        <w:tc>
          <w:tcPr>
            <w:tcW w:w="1116" w:type="dxa"/>
            <w:noWrap/>
            <w:vAlign w:val="center"/>
          </w:tcPr>
          <w:p>
            <w:pPr>
              <w:jc w:val="center"/>
              <w:rPr>
                <w:sz w:val="21"/>
                <w:szCs w:val="21"/>
              </w:rPr>
            </w:pPr>
            <w:r>
              <w:rPr>
                <w:rFonts w:hint="eastAsia"/>
                <w:sz w:val="21"/>
                <w:szCs w:val="21"/>
              </w:rPr>
              <w:t>1台</w:t>
            </w:r>
          </w:p>
        </w:tc>
        <w:tc>
          <w:tcPr>
            <w:tcW w:w="2711" w:type="dxa"/>
            <w:noWrap/>
            <w:vAlign w:val="center"/>
          </w:tcPr>
          <w:p>
            <w:pPr>
              <w:jc w:val="center"/>
              <w:rPr>
                <w:sz w:val="21"/>
                <w:szCs w:val="21"/>
              </w:rPr>
            </w:pPr>
            <w:r>
              <w:rPr>
                <w:rFonts w:hint="eastAsia"/>
                <w:sz w:val="21"/>
                <w:szCs w:val="21"/>
              </w:rPr>
              <w:t>合同签订之日起6</w:t>
            </w:r>
            <w:r>
              <w:rPr>
                <w:sz w:val="21"/>
                <w:szCs w:val="21"/>
              </w:rPr>
              <w:t>0</w:t>
            </w:r>
            <w:r>
              <w:rPr>
                <w:rFonts w:hint="eastAsia"/>
                <w:sz w:val="21"/>
                <w:szCs w:val="21"/>
              </w:rPr>
              <w:t>天内交货及安装完毕并通过验收。</w:t>
            </w:r>
          </w:p>
        </w:tc>
        <w:tc>
          <w:tcPr>
            <w:tcW w:w="2363" w:type="dxa"/>
            <w:noWrap/>
            <w:vAlign w:val="center"/>
          </w:tcPr>
          <w:p>
            <w:pPr>
              <w:jc w:val="center"/>
              <w:rPr>
                <w:sz w:val="21"/>
                <w:szCs w:val="21"/>
              </w:rPr>
            </w:pPr>
            <w:r>
              <w:fldChar w:fldCharType="begin"/>
            </w:r>
            <w:r>
              <w:instrText xml:space="preserve"> HYPERLINK "file:///\\\\2604.981.35" </w:instrText>
            </w:r>
            <w:r>
              <w:fldChar w:fldCharType="separate"/>
            </w:r>
            <w:r>
              <w:rPr>
                <w:rFonts w:hint="eastAsia"/>
                <w:sz w:val="21"/>
                <w:szCs w:val="21"/>
              </w:rPr>
              <w:t>￥178000.00</w:t>
            </w:r>
            <w:r>
              <w:rPr>
                <w:rFonts w:hint="eastAsia"/>
                <w:sz w:val="21"/>
                <w:szCs w:val="21"/>
              </w:rPr>
              <w:fldChar w:fldCharType="end"/>
            </w:r>
            <w:r>
              <w:rPr>
                <w:rFonts w:hint="eastAsia"/>
                <w:sz w:val="21"/>
                <w:szCs w:val="21"/>
              </w:rPr>
              <w:t>元（</w:t>
            </w:r>
            <w:r>
              <w:rPr>
                <w:rFonts w:hint="eastAsia"/>
                <w:sz w:val="21"/>
                <w:szCs w:val="21"/>
                <w:lang w:val="zh-CN"/>
              </w:rPr>
              <w:t>人民币：壹拾柒万捌仟元整）</w:t>
            </w:r>
          </w:p>
        </w:tc>
      </w:tr>
    </w:tbl>
    <w:p>
      <w:pPr>
        <w:pStyle w:val="2"/>
        <w:ind w:left="480" w:firstLine="480"/>
      </w:pPr>
    </w:p>
    <w:p>
      <w:pPr>
        <w:ind w:firstLine="415" w:firstLineChars="198"/>
        <w:rPr>
          <w:rFonts w:asciiTheme="minorEastAsia" w:hAnsiTheme="minorEastAsia" w:eastAsiaTheme="minorEastAsia"/>
          <w:sz w:val="21"/>
          <w:szCs w:val="21"/>
        </w:rPr>
      </w:pPr>
      <w:r>
        <w:rPr>
          <w:rFonts w:hint="eastAsia" w:asciiTheme="minorEastAsia" w:hAnsiTheme="minorEastAsia" w:eastAsiaTheme="minorEastAsia"/>
          <w:sz w:val="21"/>
          <w:szCs w:val="21"/>
        </w:rPr>
        <w:t>1.1、拆除：①原预留电梯井前厅的负一和首层混凝土顶板；②</w:t>
      </w:r>
      <w:r>
        <w:rPr>
          <w:rFonts w:hint="eastAsia" w:cs="宋体" w:asciiTheme="minorEastAsia" w:hAnsiTheme="minorEastAsia" w:eastAsiaTheme="minorEastAsia"/>
          <w:sz w:val="21"/>
          <w:szCs w:val="21"/>
          <w:shd w:val="clear" w:color="auto" w:fill="FFFFFF"/>
        </w:rPr>
        <w:t>消防系统排烟通道、风管和恢复其正常使用功能</w:t>
      </w:r>
      <w:r>
        <w:rPr>
          <w:rFonts w:hint="eastAsia" w:asciiTheme="minorEastAsia" w:hAnsiTheme="minorEastAsia" w:eastAsiaTheme="minorEastAsia"/>
          <w:sz w:val="21"/>
          <w:szCs w:val="21"/>
        </w:rPr>
        <w:t>及其他装饰。</w:t>
      </w:r>
    </w:p>
    <w:p>
      <w:pPr>
        <w:ind w:firstLine="415" w:firstLineChars="198"/>
        <w:rPr>
          <w:rFonts w:asciiTheme="minorEastAsia" w:hAnsiTheme="minorEastAsia" w:eastAsiaTheme="minorEastAsia"/>
          <w:sz w:val="21"/>
          <w:szCs w:val="21"/>
        </w:rPr>
      </w:pPr>
      <w:r>
        <w:rPr>
          <w:rFonts w:hint="eastAsia" w:asciiTheme="minorEastAsia" w:hAnsiTheme="minorEastAsia" w:eastAsiaTheme="minorEastAsia"/>
          <w:sz w:val="21"/>
          <w:szCs w:val="21"/>
        </w:rPr>
        <w:t>1.2、新增电梯的基础、井道建造采用混凝土和钢结构相结合，具体参见《湛江中心人民医院3#住院楼加装电梯</w:t>
      </w:r>
      <w:r>
        <w:rPr>
          <w:rFonts w:hint="eastAsia" w:asciiTheme="minorEastAsia" w:hAnsiTheme="minorEastAsia" w:eastAsiaTheme="minorEastAsia"/>
          <w:sz w:val="21"/>
          <w:szCs w:val="21"/>
          <w:highlight w:val="yellow"/>
          <w:lang w:eastAsia="zh-CN"/>
        </w:rPr>
        <w:t>项目</w:t>
      </w:r>
      <w:r>
        <w:rPr>
          <w:rFonts w:hint="eastAsia" w:asciiTheme="minorEastAsia" w:hAnsiTheme="minorEastAsia" w:eastAsiaTheme="minorEastAsia"/>
          <w:sz w:val="21"/>
          <w:szCs w:val="21"/>
        </w:rPr>
        <w:t>》设计内容。具体需求清单：</w:t>
      </w:r>
    </w:p>
    <w:tbl>
      <w:tblPr>
        <w:tblStyle w:val="7"/>
        <w:tblW w:w="8520" w:type="dxa"/>
        <w:tblInd w:w="95" w:type="dxa"/>
        <w:tblLayout w:type="autofit"/>
        <w:tblCellMar>
          <w:top w:w="0" w:type="dxa"/>
          <w:left w:w="108" w:type="dxa"/>
          <w:bottom w:w="0" w:type="dxa"/>
          <w:right w:w="108" w:type="dxa"/>
        </w:tblCellMar>
      </w:tblPr>
      <w:tblGrid>
        <w:gridCol w:w="520"/>
        <w:gridCol w:w="1820"/>
        <w:gridCol w:w="4720"/>
        <w:gridCol w:w="700"/>
        <w:gridCol w:w="760"/>
      </w:tblGrid>
      <w:tr>
        <w:tblPrEx>
          <w:tblCellMar>
            <w:top w:w="0" w:type="dxa"/>
            <w:left w:w="108" w:type="dxa"/>
            <w:bottom w:w="0" w:type="dxa"/>
            <w:right w:w="108" w:type="dxa"/>
          </w:tblCellMar>
        </w:tblPrEx>
        <w:trPr>
          <w:trHeight w:val="510" w:hRule="atLeast"/>
        </w:trPr>
        <w:tc>
          <w:tcPr>
            <w:tcW w:w="52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序号</w:t>
            </w:r>
          </w:p>
        </w:tc>
        <w:tc>
          <w:tcPr>
            <w:tcW w:w="1820"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项目名称</w:t>
            </w:r>
          </w:p>
        </w:tc>
        <w:tc>
          <w:tcPr>
            <w:tcW w:w="4720"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项目特征描述</w:t>
            </w:r>
          </w:p>
        </w:tc>
        <w:tc>
          <w:tcPr>
            <w:tcW w:w="700"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单位</w:t>
            </w:r>
          </w:p>
        </w:tc>
        <w:tc>
          <w:tcPr>
            <w:tcW w:w="760"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数量</w:t>
            </w:r>
          </w:p>
        </w:tc>
      </w:tr>
      <w:tr>
        <w:tblPrEx>
          <w:tblCellMar>
            <w:top w:w="0" w:type="dxa"/>
            <w:left w:w="108" w:type="dxa"/>
            <w:bottom w:w="0" w:type="dxa"/>
            <w:right w:w="108" w:type="dxa"/>
          </w:tblCellMar>
        </w:tblPrEx>
        <w:trPr>
          <w:trHeight w:val="585"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1</w:t>
            </w:r>
          </w:p>
        </w:tc>
        <w:tc>
          <w:tcPr>
            <w:tcW w:w="182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基础</w:t>
            </w:r>
          </w:p>
        </w:tc>
        <w:tc>
          <w:tcPr>
            <w:tcW w:w="4720" w:type="dxa"/>
            <w:tcBorders>
              <w:top w:val="nil"/>
              <w:left w:val="nil"/>
              <w:bottom w:val="single" w:color="auto" w:sz="4" w:space="0"/>
              <w:right w:val="single" w:color="auto" w:sz="4" w:space="0"/>
            </w:tcBorders>
            <w:shd w:val="clear" w:color="auto" w:fill="auto"/>
          </w:tcPr>
          <w:p>
            <w:pPr>
              <w:widowControl/>
              <w:rPr>
                <w:rFonts w:cs="GWLMWH+PingFangSC-Light" w:asciiTheme="minorEastAsia" w:hAnsiTheme="minorEastAsia" w:eastAsiaTheme="minorEastAsia"/>
                <w:sz w:val="21"/>
                <w:szCs w:val="21"/>
              </w:rPr>
            </w:pPr>
            <w:r>
              <w:rPr>
                <w:rFonts w:hint="cs" w:cs="GWLMWH+PingFangSC-Light" w:asciiTheme="minorEastAsia" w:hAnsiTheme="minorEastAsia" w:eastAsiaTheme="minorEastAsia"/>
                <w:sz w:val="21"/>
                <w:szCs w:val="21"/>
              </w:rPr>
              <w:t>1</w:t>
            </w:r>
            <w:r>
              <w:rPr>
                <w:rFonts w:hint="eastAsia" w:cs="GWLMWH+PingFangSC-Light" w:asciiTheme="minorEastAsia" w:hAnsiTheme="minorEastAsia" w:eastAsiaTheme="minorEastAsia"/>
                <w:sz w:val="21"/>
                <w:szCs w:val="21"/>
              </w:rPr>
              <w:t>、混凝</w:t>
            </w:r>
            <w:r>
              <w:rPr>
                <w:rFonts w:hint="eastAsia" w:hAnsi="Microsoft JhengHei" w:eastAsia="Microsoft JhengHei" w:cs="Microsoft JhengHei" w:asciiTheme="minorEastAsia"/>
                <w:sz w:val="21"/>
                <w:szCs w:val="21"/>
              </w:rPr>
              <w:t>⼟</w:t>
            </w:r>
            <w:r>
              <w:rPr>
                <w:rFonts w:hint="eastAsia" w:cs="宋体" w:asciiTheme="minorEastAsia" w:hAnsiTheme="minorEastAsia" w:eastAsiaTheme="minorEastAsia"/>
                <w:sz w:val="21"/>
                <w:szCs w:val="21"/>
              </w:rPr>
              <w:t>种类：产品混凝</w:t>
            </w:r>
            <w:r>
              <w:rPr>
                <w:rFonts w:hint="eastAsia" w:hAnsi="Microsoft JhengHei" w:eastAsia="Microsoft JhengHei" w:cs="Microsoft JhengHei" w:asciiTheme="minorEastAsia"/>
                <w:sz w:val="21"/>
                <w:szCs w:val="21"/>
              </w:rPr>
              <w:t>⼟</w:t>
            </w:r>
            <w:r>
              <w:rPr>
                <w:rFonts w:hint="eastAsia" w:cs="GWLMWH+PingFangSC-Light" w:asciiTheme="minorEastAsia" w:hAnsiTheme="minorEastAsia" w:eastAsiaTheme="minorEastAsia"/>
                <w:sz w:val="21"/>
                <w:szCs w:val="21"/>
              </w:rPr>
              <w:t xml:space="preserve"> 2、混凝</w:t>
            </w:r>
            <w:r>
              <w:rPr>
                <w:rFonts w:hint="eastAsia" w:hAnsi="Microsoft JhengHei" w:eastAsia="Microsoft JhengHei" w:cs="Microsoft JhengHei" w:asciiTheme="minorEastAsia"/>
                <w:sz w:val="21"/>
                <w:szCs w:val="21"/>
              </w:rPr>
              <w:t>⼟</w:t>
            </w:r>
            <w:r>
              <w:rPr>
                <w:rFonts w:hint="eastAsia" w:cs="宋体" w:asciiTheme="minorEastAsia" w:hAnsiTheme="minorEastAsia" w:eastAsiaTheme="minorEastAsia"/>
                <w:sz w:val="21"/>
                <w:szCs w:val="21"/>
              </w:rPr>
              <w:t>强度等级：</w:t>
            </w:r>
            <w:r>
              <w:rPr>
                <w:rFonts w:hint="eastAsia" w:cs="GWLMWH+PingFangSC-Light" w:asciiTheme="minorEastAsia" w:hAnsiTheme="minorEastAsia" w:eastAsiaTheme="minorEastAsia"/>
                <w:sz w:val="21"/>
                <w:szCs w:val="21"/>
              </w:rPr>
              <w:t>C35</w:t>
            </w:r>
          </w:p>
        </w:tc>
        <w:tc>
          <w:tcPr>
            <w:tcW w:w="700" w:type="dxa"/>
            <w:tcBorders>
              <w:top w:val="nil"/>
              <w:left w:val="nil"/>
              <w:bottom w:val="single" w:color="auto" w:sz="4" w:space="0"/>
              <w:right w:val="single" w:color="auto" w:sz="4" w:space="0"/>
            </w:tcBorders>
            <w:shd w:val="clear" w:color="auto" w:fill="auto"/>
          </w:tcPr>
          <w:p>
            <w:pPr>
              <w:widowControl/>
              <w:jc w:val="center"/>
              <w:rPr>
                <w:rFonts w:cs="GWLMWH+PingFangSC-Light" w:asciiTheme="minorEastAsia" w:hAnsiTheme="minorEastAsia" w:eastAsiaTheme="minorEastAsia"/>
                <w:sz w:val="21"/>
                <w:szCs w:val="21"/>
              </w:rPr>
            </w:pPr>
            <w:r>
              <w:rPr>
                <w:rFonts w:hint="cs" w:cs="GWLMWH+PingFangSC-Light" w:asciiTheme="minorEastAsia" w:hAnsiTheme="minorEastAsia" w:eastAsiaTheme="minorEastAsia"/>
                <w:sz w:val="21"/>
                <w:szCs w:val="21"/>
              </w:rPr>
              <w:t>m3</w:t>
            </w:r>
          </w:p>
        </w:tc>
        <w:tc>
          <w:tcPr>
            <w:tcW w:w="76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3</w:t>
            </w:r>
          </w:p>
        </w:tc>
      </w:tr>
      <w:tr>
        <w:tblPrEx>
          <w:tblCellMar>
            <w:top w:w="0" w:type="dxa"/>
            <w:left w:w="108" w:type="dxa"/>
            <w:bottom w:w="0" w:type="dxa"/>
            <w:right w:w="108" w:type="dxa"/>
          </w:tblCellMar>
        </w:tblPrEx>
        <w:trPr>
          <w:trHeight w:val="42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2</w:t>
            </w:r>
          </w:p>
        </w:tc>
        <w:tc>
          <w:tcPr>
            <w:tcW w:w="182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钢筋</w:t>
            </w:r>
          </w:p>
        </w:tc>
        <w:tc>
          <w:tcPr>
            <w:tcW w:w="4720" w:type="dxa"/>
            <w:tcBorders>
              <w:top w:val="nil"/>
              <w:left w:val="nil"/>
              <w:bottom w:val="single" w:color="auto" w:sz="4" w:space="0"/>
              <w:right w:val="single" w:color="auto" w:sz="4" w:space="0"/>
            </w:tcBorders>
            <w:shd w:val="clear" w:color="auto" w:fill="auto"/>
          </w:tcPr>
          <w:p>
            <w:pPr>
              <w:widowControl/>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钢材品种、材质：Q235B、规格：150*150*8</w:t>
            </w:r>
          </w:p>
        </w:tc>
        <w:tc>
          <w:tcPr>
            <w:tcW w:w="70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吨</w:t>
            </w:r>
          </w:p>
        </w:tc>
        <w:tc>
          <w:tcPr>
            <w:tcW w:w="76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3.47</w:t>
            </w:r>
          </w:p>
        </w:tc>
      </w:tr>
      <w:tr>
        <w:tblPrEx>
          <w:tblCellMar>
            <w:top w:w="0" w:type="dxa"/>
            <w:left w:w="108" w:type="dxa"/>
            <w:bottom w:w="0" w:type="dxa"/>
            <w:right w:w="108" w:type="dxa"/>
          </w:tblCellMar>
        </w:tblPrEx>
        <w:trPr>
          <w:trHeight w:val="42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3</w:t>
            </w:r>
          </w:p>
        </w:tc>
        <w:tc>
          <w:tcPr>
            <w:tcW w:w="182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钢柱</w:t>
            </w:r>
          </w:p>
        </w:tc>
        <w:tc>
          <w:tcPr>
            <w:tcW w:w="4720" w:type="dxa"/>
            <w:tcBorders>
              <w:top w:val="nil"/>
              <w:left w:val="nil"/>
              <w:bottom w:val="single" w:color="auto" w:sz="4" w:space="0"/>
              <w:right w:val="single" w:color="auto" w:sz="4" w:space="0"/>
            </w:tcBorders>
            <w:shd w:val="clear" w:color="auto" w:fill="auto"/>
          </w:tcPr>
          <w:p>
            <w:pPr>
              <w:widowControl/>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钢材品种、材质：Q235B、规格：150*200*6</w:t>
            </w:r>
          </w:p>
        </w:tc>
        <w:tc>
          <w:tcPr>
            <w:tcW w:w="70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吨</w:t>
            </w:r>
          </w:p>
        </w:tc>
        <w:tc>
          <w:tcPr>
            <w:tcW w:w="76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7.642</w:t>
            </w:r>
          </w:p>
        </w:tc>
      </w:tr>
      <w:tr>
        <w:tblPrEx>
          <w:tblCellMar>
            <w:top w:w="0" w:type="dxa"/>
            <w:left w:w="108" w:type="dxa"/>
            <w:bottom w:w="0" w:type="dxa"/>
            <w:right w:w="108" w:type="dxa"/>
          </w:tblCellMar>
        </w:tblPrEx>
        <w:trPr>
          <w:trHeight w:val="585"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4</w:t>
            </w:r>
          </w:p>
        </w:tc>
        <w:tc>
          <w:tcPr>
            <w:tcW w:w="182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hAnsi="Microsoft JhengHei" w:eastAsia="Microsoft JhengHei" w:cs="Microsoft JhengHei" w:asciiTheme="minorEastAsia"/>
                <w:sz w:val="21"/>
                <w:szCs w:val="21"/>
              </w:rPr>
              <w:t>⾦</w:t>
            </w:r>
            <w:r>
              <w:rPr>
                <w:rFonts w:hint="eastAsia" w:cs="宋体" w:asciiTheme="minorEastAsia" w:hAnsiTheme="minorEastAsia" w:eastAsiaTheme="minorEastAsia"/>
                <w:sz w:val="21"/>
                <w:szCs w:val="21"/>
              </w:rPr>
              <w:t>属</w:t>
            </w:r>
            <w:r>
              <w:rPr>
                <w:rFonts w:hint="eastAsia" w:hAnsi="Microsoft JhengHei" w:eastAsia="Microsoft JhengHei" w:cs="Microsoft JhengHei" w:asciiTheme="minorEastAsia"/>
                <w:sz w:val="21"/>
                <w:szCs w:val="21"/>
              </w:rPr>
              <w:t>⾯</w:t>
            </w:r>
            <w:r>
              <w:rPr>
                <w:rFonts w:hint="eastAsia" w:cs="宋体" w:asciiTheme="minorEastAsia" w:hAnsiTheme="minorEastAsia" w:eastAsiaTheme="minorEastAsia"/>
                <w:sz w:val="21"/>
                <w:szCs w:val="21"/>
              </w:rPr>
              <w:t>油漆</w:t>
            </w:r>
          </w:p>
        </w:tc>
        <w:tc>
          <w:tcPr>
            <w:tcW w:w="4720" w:type="dxa"/>
            <w:tcBorders>
              <w:top w:val="nil"/>
              <w:left w:val="nil"/>
              <w:bottom w:val="single" w:color="auto" w:sz="4" w:space="0"/>
              <w:right w:val="single" w:color="auto" w:sz="4" w:space="0"/>
            </w:tcBorders>
            <w:shd w:val="clear" w:color="auto" w:fill="auto"/>
          </w:tcPr>
          <w:p>
            <w:pPr>
              <w:widowControl/>
              <w:rPr>
                <w:rFonts w:cs="GWLMWH+PingFangSC-Light" w:asciiTheme="minorEastAsia" w:hAnsiTheme="minorEastAsia" w:eastAsiaTheme="minorEastAsia"/>
                <w:sz w:val="21"/>
                <w:szCs w:val="21"/>
              </w:rPr>
            </w:pPr>
            <w:r>
              <w:rPr>
                <w:rFonts w:hint="cs" w:cs="GWLMWH+PingFangSC-Light" w:asciiTheme="minorEastAsia" w:hAnsiTheme="minorEastAsia" w:eastAsiaTheme="minorEastAsia"/>
                <w:sz w:val="21"/>
                <w:szCs w:val="21"/>
              </w:rPr>
              <w:t>1</w:t>
            </w:r>
            <w:r>
              <w:rPr>
                <w:rFonts w:hint="eastAsia" w:cs="GWLMWH+PingFangSC-Light" w:asciiTheme="minorEastAsia" w:hAnsiTheme="minorEastAsia" w:eastAsiaTheme="minorEastAsia"/>
                <w:sz w:val="21"/>
                <w:szCs w:val="21"/>
              </w:rPr>
              <w:t>、油漆品种、刷漆遍数：机喷环氧富锌漆、喷砂除锈</w:t>
            </w:r>
          </w:p>
        </w:tc>
        <w:tc>
          <w:tcPr>
            <w:tcW w:w="70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桶</w:t>
            </w:r>
          </w:p>
        </w:tc>
        <w:tc>
          <w:tcPr>
            <w:tcW w:w="76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13.72</w:t>
            </w:r>
          </w:p>
        </w:tc>
      </w:tr>
      <w:tr>
        <w:tblPrEx>
          <w:tblCellMar>
            <w:top w:w="0" w:type="dxa"/>
            <w:left w:w="108" w:type="dxa"/>
            <w:bottom w:w="0" w:type="dxa"/>
            <w:right w:w="108" w:type="dxa"/>
          </w:tblCellMar>
        </w:tblPrEx>
        <w:trPr>
          <w:trHeight w:val="42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5</w:t>
            </w:r>
          </w:p>
        </w:tc>
        <w:tc>
          <w:tcPr>
            <w:tcW w:w="182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梯井封玻美彩钢板</w:t>
            </w:r>
          </w:p>
        </w:tc>
        <w:tc>
          <w:tcPr>
            <w:tcW w:w="4720" w:type="dxa"/>
            <w:tcBorders>
              <w:top w:val="nil"/>
              <w:left w:val="nil"/>
              <w:bottom w:val="single" w:color="auto" w:sz="4" w:space="0"/>
              <w:right w:val="single" w:color="auto" w:sz="4" w:space="0"/>
            </w:tcBorders>
            <w:shd w:val="clear" w:color="auto" w:fill="auto"/>
          </w:tcPr>
          <w:p>
            <w:pPr>
              <w:widowControl/>
              <w:rPr>
                <w:rFonts w:cs="GWLMWH+PingFangSC-Light" w:asciiTheme="minorEastAsia" w:hAnsiTheme="minorEastAsia" w:eastAsiaTheme="minorEastAsia"/>
                <w:sz w:val="21"/>
                <w:szCs w:val="21"/>
              </w:rPr>
            </w:pPr>
            <w:r>
              <w:rPr>
                <w:rFonts w:hint="cs" w:cs="GWLMWH+PingFangSC-Light" w:asciiTheme="minorEastAsia" w:hAnsiTheme="minorEastAsia" w:eastAsiaTheme="minorEastAsia"/>
                <w:sz w:val="21"/>
                <w:szCs w:val="21"/>
              </w:rPr>
              <w:t>1</w:t>
            </w:r>
            <w:r>
              <w:rPr>
                <w:rFonts w:hint="eastAsia" w:cs="GWLMWH+PingFangSC-Light" w:asciiTheme="minorEastAsia" w:hAnsiTheme="minorEastAsia" w:eastAsiaTheme="minorEastAsia"/>
                <w:sz w:val="21"/>
                <w:szCs w:val="21"/>
              </w:rPr>
              <w:t>、隔墙类型：玻美彩钢板</w:t>
            </w:r>
            <w:r>
              <w:rPr>
                <w:rFonts w:hint="cs" w:cs="GWLMWH+PingFangSC-Light" w:asciiTheme="minorEastAsia" w:hAnsiTheme="minorEastAsia" w:eastAsiaTheme="minorEastAsia"/>
                <w:sz w:val="21"/>
                <w:szCs w:val="21"/>
              </w:rPr>
              <w:t>2</w:t>
            </w:r>
            <w:r>
              <w:rPr>
                <w:rFonts w:hint="eastAsia" w:cs="GWLMWH+PingFangSC-Light" w:asciiTheme="minorEastAsia" w:hAnsiTheme="minorEastAsia" w:eastAsiaTheme="minorEastAsia"/>
                <w:sz w:val="21"/>
                <w:szCs w:val="21"/>
              </w:rPr>
              <w:t>、厚度：</w:t>
            </w:r>
            <w:r>
              <w:rPr>
                <w:rFonts w:hint="cs" w:cs="GWLMWH+PingFangSC-Light" w:asciiTheme="minorEastAsia" w:hAnsiTheme="minorEastAsia" w:eastAsiaTheme="minorEastAsia"/>
                <w:sz w:val="21"/>
                <w:szCs w:val="21"/>
              </w:rPr>
              <w:t>0.5mm</w:t>
            </w:r>
          </w:p>
        </w:tc>
        <w:tc>
          <w:tcPr>
            <w:tcW w:w="70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m2</w:t>
            </w:r>
          </w:p>
        </w:tc>
        <w:tc>
          <w:tcPr>
            <w:tcW w:w="76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152</w:t>
            </w:r>
          </w:p>
        </w:tc>
      </w:tr>
      <w:tr>
        <w:tblPrEx>
          <w:tblCellMar>
            <w:top w:w="0" w:type="dxa"/>
            <w:left w:w="108" w:type="dxa"/>
            <w:bottom w:w="0" w:type="dxa"/>
            <w:right w:w="108" w:type="dxa"/>
          </w:tblCellMar>
        </w:tblPrEx>
        <w:trPr>
          <w:trHeight w:val="90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6</w:t>
            </w:r>
          </w:p>
        </w:tc>
        <w:tc>
          <w:tcPr>
            <w:tcW w:w="182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防撞带</w:t>
            </w:r>
          </w:p>
        </w:tc>
        <w:tc>
          <w:tcPr>
            <w:tcW w:w="4720" w:type="dxa"/>
            <w:tcBorders>
              <w:top w:val="nil"/>
              <w:left w:val="nil"/>
              <w:bottom w:val="single" w:color="auto" w:sz="4" w:space="0"/>
              <w:right w:val="single" w:color="auto" w:sz="4" w:space="0"/>
            </w:tcBorders>
            <w:shd w:val="clear" w:color="auto" w:fill="auto"/>
          </w:tcPr>
          <w:p>
            <w:pPr>
              <w:widowControl/>
              <w:ind w:firstLine="630" w:firstLineChars="300"/>
              <w:rPr>
                <w:rFonts w:cs="GWLMWH+PingFangSC-Light" w:asciiTheme="minorEastAsia" w:hAnsiTheme="minorEastAsia" w:eastAsiaTheme="minorEastAsia"/>
                <w:sz w:val="21"/>
                <w:szCs w:val="21"/>
              </w:rPr>
            </w:pPr>
            <w:r>
              <w:rPr>
                <w:rFonts w:hint="cs" w:cs="GWLMWH+PingFangSC-Light" w:asciiTheme="minorEastAsia" w:hAnsiTheme="minorEastAsia" w:eastAsiaTheme="minorEastAsia"/>
                <w:sz w:val="21"/>
                <w:szCs w:val="21"/>
              </w:rPr>
              <w:t>1.</w:t>
            </w:r>
            <w:r>
              <w:rPr>
                <w:rFonts w:hint="eastAsia" w:cs="GWLMWH+PingFangSC-Light" w:asciiTheme="minorEastAsia" w:hAnsiTheme="minorEastAsia" w:eastAsiaTheme="minorEastAsia"/>
                <w:sz w:val="21"/>
                <w:szCs w:val="21"/>
              </w:rPr>
              <w:t>基层材料种类、规格</w:t>
            </w:r>
            <w:r>
              <w:rPr>
                <w:rFonts w:hint="cs" w:cs="GWLMWH+PingFangSC-Light" w:asciiTheme="minorEastAsia" w:hAnsiTheme="minorEastAsia" w:eastAsiaTheme="minorEastAsia"/>
                <w:sz w:val="21"/>
                <w:szCs w:val="21"/>
              </w:rPr>
              <w:t xml:space="preserve">:12mm </w:t>
            </w:r>
            <w:r>
              <w:rPr>
                <w:rFonts w:hint="eastAsia" w:cs="GWLMWH+PingFangSC-Light" w:asciiTheme="minorEastAsia" w:hAnsiTheme="minorEastAsia" w:eastAsiaTheme="minorEastAsia"/>
                <w:sz w:val="21"/>
                <w:szCs w:val="21"/>
              </w:rPr>
              <w:t>夹板基层</w:t>
            </w:r>
            <w:r>
              <w:rPr>
                <w:rFonts w:hint="cs" w:cs="GWLMWH+PingFangSC-Light" w:asciiTheme="minorEastAsia" w:hAnsiTheme="minorEastAsia" w:eastAsiaTheme="minorEastAsia"/>
                <w:sz w:val="21"/>
                <w:szCs w:val="21"/>
              </w:rPr>
              <w:t xml:space="preserve"> 2.</w:t>
            </w:r>
            <w:r>
              <w:rPr>
                <w:rFonts w:hint="cs" w:hAnsi="Microsoft JhengHei" w:eastAsia="Microsoft JhengHei" w:cs="Microsoft JhengHei" w:asciiTheme="minorEastAsia"/>
                <w:sz w:val="21"/>
                <w:szCs w:val="21"/>
              </w:rPr>
              <w:t>⾯</w:t>
            </w:r>
            <w:r>
              <w:rPr>
                <w:rFonts w:hint="eastAsia" w:cs="GWLMWH+PingFangSC-Light" w:asciiTheme="minorEastAsia" w:hAnsiTheme="minorEastAsia" w:eastAsiaTheme="minorEastAsia"/>
                <w:sz w:val="21"/>
                <w:szCs w:val="21"/>
              </w:rPr>
              <w:t>层材料品种、规格、颜</w:t>
            </w:r>
            <w:r>
              <w:rPr>
                <w:rFonts w:hint="cs" w:hAnsi="Microsoft JhengHei" w:eastAsia="Microsoft JhengHei" w:cs="Microsoft JhengHei" w:asciiTheme="minorEastAsia"/>
                <w:sz w:val="21"/>
                <w:szCs w:val="21"/>
              </w:rPr>
              <w:t>⾊</w:t>
            </w:r>
            <w:r>
              <w:rPr>
                <w:rFonts w:hint="cs" w:cs="GWLMWH+PingFangSC-Light" w:asciiTheme="minorEastAsia" w:hAnsiTheme="minorEastAsia" w:eastAsiaTheme="minorEastAsia"/>
                <w:sz w:val="21"/>
                <w:szCs w:val="21"/>
              </w:rPr>
              <w:t>:</w:t>
            </w:r>
            <w:r>
              <w:rPr>
                <w:rFonts w:hint="eastAsia" w:cs="GWLMWH+PingFangSC-Light" w:asciiTheme="minorEastAsia" w:hAnsiTheme="minorEastAsia" w:eastAsiaTheme="minorEastAsia"/>
                <w:sz w:val="21"/>
                <w:szCs w:val="21"/>
              </w:rPr>
              <w:t>不锈钢板拉丝</w:t>
            </w:r>
            <w:r>
              <w:rPr>
                <w:rFonts w:hint="cs" w:hAnsi="Microsoft JhengHei" w:eastAsia="Microsoft JhengHei" w:cs="Microsoft JhengHei" w:asciiTheme="minorEastAsia"/>
                <w:sz w:val="21"/>
                <w:szCs w:val="21"/>
              </w:rPr>
              <w:t>⾯</w:t>
            </w:r>
            <w:r>
              <w:rPr>
                <w:rFonts w:hint="cs" w:cs="GWLMWH+PingFangSC-Light" w:asciiTheme="minorEastAsia" w:hAnsiTheme="minorEastAsia" w:eastAsiaTheme="minorEastAsia"/>
                <w:sz w:val="21"/>
                <w:szCs w:val="21"/>
              </w:rPr>
              <w:t>1.4mm</w:t>
            </w:r>
          </w:p>
        </w:tc>
        <w:tc>
          <w:tcPr>
            <w:tcW w:w="70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m2</w:t>
            </w:r>
          </w:p>
        </w:tc>
        <w:tc>
          <w:tcPr>
            <w:tcW w:w="76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6.42</w:t>
            </w:r>
          </w:p>
        </w:tc>
      </w:tr>
      <w:tr>
        <w:tblPrEx>
          <w:tblCellMar>
            <w:top w:w="0" w:type="dxa"/>
            <w:left w:w="108" w:type="dxa"/>
            <w:bottom w:w="0" w:type="dxa"/>
            <w:right w:w="108" w:type="dxa"/>
          </w:tblCellMar>
        </w:tblPrEx>
        <w:trPr>
          <w:trHeight w:val="405"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7</w:t>
            </w:r>
          </w:p>
        </w:tc>
        <w:tc>
          <w:tcPr>
            <w:tcW w:w="182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不锈钢</w:t>
            </w:r>
            <w:r>
              <w:rPr>
                <w:rFonts w:hint="eastAsia" w:hAnsi="Microsoft JhengHei" w:eastAsia="Microsoft JhengHei" w:cs="Microsoft JhengHei" w:asciiTheme="minorEastAsia"/>
                <w:sz w:val="21"/>
                <w:szCs w:val="21"/>
              </w:rPr>
              <w:t>⼤⻔</w:t>
            </w:r>
            <w:r>
              <w:rPr>
                <w:rFonts w:hint="eastAsia" w:cs="宋体" w:asciiTheme="minorEastAsia" w:hAnsiTheme="minorEastAsia" w:eastAsiaTheme="minorEastAsia"/>
                <w:sz w:val="21"/>
                <w:szCs w:val="21"/>
              </w:rPr>
              <w:t>套</w:t>
            </w:r>
          </w:p>
        </w:tc>
        <w:tc>
          <w:tcPr>
            <w:tcW w:w="4720" w:type="dxa"/>
            <w:tcBorders>
              <w:top w:val="nil"/>
              <w:left w:val="nil"/>
              <w:bottom w:val="single" w:color="auto" w:sz="4" w:space="0"/>
              <w:right w:val="single" w:color="auto" w:sz="4" w:space="0"/>
            </w:tcBorders>
            <w:shd w:val="clear" w:color="auto" w:fill="auto"/>
          </w:tcPr>
          <w:p>
            <w:pPr>
              <w:widowControl/>
              <w:ind w:firstLine="630" w:firstLineChars="300"/>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　</w:t>
            </w:r>
          </w:p>
        </w:tc>
        <w:tc>
          <w:tcPr>
            <w:tcW w:w="70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套</w:t>
            </w:r>
          </w:p>
        </w:tc>
        <w:tc>
          <w:tcPr>
            <w:tcW w:w="76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4</w:t>
            </w:r>
          </w:p>
        </w:tc>
      </w:tr>
      <w:tr>
        <w:tblPrEx>
          <w:tblCellMar>
            <w:top w:w="0" w:type="dxa"/>
            <w:left w:w="108" w:type="dxa"/>
            <w:bottom w:w="0" w:type="dxa"/>
            <w:right w:w="108" w:type="dxa"/>
          </w:tblCellMar>
        </w:tblPrEx>
        <w:trPr>
          <w:trHeight w:val="420" w:hRule="atLeast"/>
        </w:trPr>
        <w:tc>
          <w:tcPr>
            <w:tcW w:w="5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8</w:t>
            </w:r>
          </w:p>
        </w:tc>
        <w:tc>
          <w:tcPr>
            <w:tcW w:w="182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改排</w:t>
            </w:r>
            <w:r>
              <w:rPr>
                <w:rFonts w:hint="eastAsia" w:hAnsi="Microsoft JhengHei" w:eastAsia="Microsoft JhengHei" w:cs="Microsoft JhengHei" w:asciiTheme="minorEastAsia"/>
                <w:sz w:val="21"/>
                <w:szCs w:val="21"/>
              </w:rPr>
              <w:t>⻛</w:t>
            </w:r>
            <w:r>
              <w:rPr>
                <w:rFonts w:hint="eastAsia" w:cs="宋体" w:asciiTheme="minorEastAsia" w:hAnsiTheme="minorEastAsia" w:eastAsiaTheme="minorEastAsia"/>
                <w:sz w:val="21"/>
                <w:szCs w:val="21"/>
              </w:rPr>
              <w:t>管</w:t>
            </w:r>
          </w:p>
        </w:tc>
        <w:tc>
          <w:tcPr>
            <w:tcW w:w="4720" w:type="dxa"/>
            <w:tcBorders>
              <w:top w:val="nil"/>
              <w:left w:val="nil"/>
              <w:bottom w:val="single" w:color="auto" w:sz="4" w:space="0"/>
              <w:right w:val="single" w:color="auto" w:sz="4" w:space="0"/>
            </w:tcBorders>
            <w:shd w:val="clear" w:color="auto" w:fill="auto"/>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改排</w:t>
            </w:r>
            <w:r>
              <w:rPr>
                <w:rFonts w:hint="eastAsia" w:hAnsi="Microsoft JhengHei" w:eastAsia="Microsoft JhengHei" w:cs="Microsoft JhengHei" w:asciiTheme="minorEastAsia"/>
                <w:sz w:val="21"/>
                <w:szCs w:val="21"/>
              </w:rPr>
              <w:t>⻛</w:t>
            </w:r>
            <w:r>
              <w:rPr>
                <w:rFonts w:hint="eastAsia" w:cs="宋体" w:asciiTheme="minorEastAsia" w:hAnsiTheme="minorEastAsia" w:eastAsiaTheme="minorEastAsia"/>
                <w:sz w:val="21"/>
                <w:szCs w:val="21"/>
              </w:rPr>
              <w:t>管材料</w:t>
            </w:r>
          </w:p>
        </w:tc>
        <w:tc>
          <w:tcPr>
            <w:tcW w:w="70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米</w:t>
            </w:r>
          </w:p>
        </w:tc>
        <w:tc>
          <w:tcPr>
            <w:tcW w:w="760" w:type="dxa"/>
            <w:tcBorders>
              <w:top w:val="nil"/>
              <w:left w:val="nil"/>
              <w:bottom w:val="single" w:color="auto" w:sz="4" w:space="0"/>
              <w:right w:val="single" w:color="auto" w:sz="4" w:space="0"/>
            </w:tcBorders>
            <w:shd w:val="clear" w:color="auto" w:fill="auto"/>
            <w:noWrap/>
            <w:vAlign w:val="center"/>
          </w:tcPr>
          <w:p>
            <w:pPr>
              <w:widowControl/>
              <w:jc w:val="center"/>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10</w:t>
            </w:r>
          </w:p>
        </w:tc>
      </w:tr>
    </w:tbl>
    <w:p>
      <w:pPr>
        <w:rPr>
          <w:rFonts w:asciiTheme="minorEastAsia" w:hAnsiTheme="minorEastAsia" w:eastAsiaTheme="minorEastAsia"/>
          <w:b/>
          <w:sz w:val="21"/>
          <w:szCs w:val="21"/>
        </w:rPr>
      </w:pPr>
      <w:r>
        <w:rPr>
          <w:rFonts w:hint="eastAsia" w:asciiTheme="minorEastAsia" w:hAnsiTheme="minorEastAsia" w:eastAsiaTheme="minorEastAsia"/>
          <w:b/>
          <w:sz w:val="21"/>
          <w:szCs w:val="21"/>
        </w:rPr>
        <w:t>注：工程量以实际施工量为准，工程项目含设计费。</w:t>
      </w:r>
    </w:p>
    <w:p>
      <w:pPr>
        <w:ind w:firstLine="420" w:firstLineChars="200"/>
        <w:rPr>
          <w:rFonts w:asciiTheme="minorEastAsia" w:hAnsiTheme="minorEastAsia" w:eastAsiaTheme="minorEastAsia"/>
          <w:sz w:val="21"/>
          <w:szCs w:val="21"/>
        </w:rPr>
      </w:pPr>
      <w:r>
        <w:rPr>
          <w:rFonts w:hint="eastAsia" w:asciiTheme="minorEastAsia" w:hAnsiTheme="minorEastAsia" w:eastAsiaTheme="minorEastAsia"/>
          <w:sz w:val="21"/>
          <w:szCs w:val="21"/>
        </w:rPr>
        <w:t>1.3、新增电梯的井道钢结构应多点位与原楼体钢筋可靠焊接，确保接地牢固，井道钢结构应不少于3个点位与原楼体不同位置的主干等电位可靠焊接</w:t>
      </w:r>
    </w:p>
    <w:p>
      <w:pPr>
        <w:ind w:firstLine="420" w:firstLineChars="200"/>
        <w:rPr>
          <w:rFonts w:asciiTheme="minorEastAsia" w:hAnsiTheme="minorEastAsia" w:eastAsiaTheme="minorEastAsia"/>
          <w:sz w:val="21"/>
          <w:szCs w:val="21"/>
        </w:rPr>
      </w:pPr>
      <w:r>
        <w:rPr>
          <w:rFonts w:hint="eastAsia" w:asciiTheme="minorEastAsia" w:hAnsiTheme="minorEastAsia" w:eastAsiaTheme="minorEastAsia"/>
          <w:sz w:val="21"/>
          <w:szCs w:val="21"/>
        </w:rPr>
        <w:t>1.4、由于新增电梯的底坑是悬挂在负一层半空</w:t>
      </w:r>
      <w:bookmarkStart w:id="2" w:name="_GoBack"/>
      <w:bookmarkEnd w:id="2"/>
      <w:r>
        <w:rPr>
          <w:rFonts w:hint="eastAsia" w:asciiTheme="minorEastAsia" w:hAnsiTheme="minorEastAsia" w:eastAsiaTheme="minorEastAsia"/>
          <w:sz w:val="21"/>
          <w:szCs w:val="21"/>
        </w:rPr>
        <w:t>中，所以底坑增加排水加防臭。</w:t>
      </w:r>
    </w:p>
    <w:p>
      <w:pPr>
        <w:pStyle w:val="2"/>
        <w:ind w:left="480" w:firstLine="480"/>
      </w:pPr>
    </w:p>
    <w:p>
      <w:pPr>
        <w:spacing w:line="360" w:lineRule="auto"/>
        <w:rPr>
          <w:sz w:val="21"/>
          <w:szCs w:val="21"/>
        </w:rPr>
      </w:pPr>
      <w:r>
        <w:rPr>
          <w:rFonts w:hint="eastAsia"/>
          <w:sz w:val="21"/>
          <w:szCs w:val="21"/>
        </w:rPr>
        <w:t>2.电梯设备</w:t>
      </w:r>
    </w:p>
    <w:tbl>
      <w:tblPr>
        <w:tblStyle w:val="7"/>
        <w:tblW w:w="8894" w:type="dxa"/>
        <w:jc w:val="center"/>
        <w:tblBorders>
          <w:top w:val="double" w:color="auto" w:sz="6" w:space="0"/>
          <w:left w:val="double" w:color="auto" w:sz="6" w:space="0"/>
          <w:bottom w:val="double" w:color="auto" w:sz="6" w:space="0"/>
          <w:right w:val="double" w:color="auto" w:sz="6" w:space="0"/>
          <w:insideH w:val="single" w:color="auto" w:sz="4" w:space="0"/>
          <w:insideV w:val="single" w:color="auto" w:sz="4" w:space="0"/>
        </w:tblBorders>
        <w:tblLayout w:type="fixed"/>
        <w:tblCellMar>
          <w:top w:w="0" w:type="dxa"/>
          <w:left w:w="108" w:type="dxa"/>
          <w:bottom w:w="0" w:type="dxa"/>
          <w:right w:w="108" w:type="dxa"/>
        </w:tblCellMar>
      </w:tblPr>
      <w:tblGrid>
        <w:gridCol w:w="2562"/>
        <w:gridCol w:w="1134"/>
        <w:gridCol w:w="2676"/>
        <w:gridCol w:w="2522"/>
      </w:tblGrid>
      <w:tr>
        <w:tblPrEx>
          <w:tblBorders>
            <w:top w:val="double" w:color="auto" w:sz="6" w:space="0"/>
            <w:left w:val="double" w:color="auto" w:sz="6" w:space="0"/>
            <w:bottom w:val="double" w:color="auto" w:sz="6" w:space="0"/>
            <w:right w:val="double" w:color="auto" w:sz="6"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2562" w:type="dxa"/>
            <w:noWrap/>
            <w:vAlign w:val="center"/>
          </w:tcPr>
          <w:p>
            <w:pPr>
              <w:jc w:val="center"/>
              <w:rPr>
                <w:sz w:val="21"/>
                <w:szCs w:val="21"/>
              </w:rPr>
            </w:pPr>
            <w:r>
              <w:rPr>
                <w:rFonts w:hint="eastAsia"/>
                <w:sz w:val="21"/>
                <w:szCs w:val="21"/>
              </w:rPr>
              <w:t>名称</w:t>
            </w:r>
          </w:p>
        </w:tc>
        <w:tc>
          <w:tcPr>
            <w:tcW w:w="1134" w:type="dxa"/>
            <w:noWrap/>
            <w:vAlign w:val="center"/>
          </w:tcPr>
          <w:p>
            <w:pPr>
              <w:jc w:val="center"/>
              <w:rPr>
                <w:sz w:val="21"/>
                <w:szCs w:val="21"/>
              </w:rPr>
            </w:pPr>
            <w:r>
              <w:rPr>
                <w:rFonts w:hint="eastAsia"/>
                <w:sz w:val="21"/>
                <w:szCs w:val="21"/>
              </w:rPr>
              <w:t>数量</w:t>
            </w:r>
          </w:p>
        </w:tc>
        <w:tc>
          <w:tcPr>
            <w:tcW w:w="2676" w:type="dxa"/>
            <w:noWrap/>
            <w:vAlign w:val="center"/>
          </w:tcPr>
          <w:p>
            <w:pPr>
              <w:jc w:val="center"/>
              <w:rPr>
                <w:sz w:val="21"/>
                <w:szCs w:val="21"/>
              </w:rPr>
            </w:pPr>
            <w:r>
              <w:rPr>
                <w:rFonts w:hint="eastAsia"/>
                <w:sz w:val="21"/>
                <w:szCs w:val="21"/>
              </w:rPr>
              <w:t>交货时间</w:t>
            </w:r>
          </w:p>
        </w:tc>
        <w:tc>
          <w:tcPr>
            <w:tcW w:w="2522" w:type="dxa"/>
            <w:noWrap/>
            <w:vAlign w:val="center"/>
          </w:tcPr>
          <w:p>
            <w:pPr>
              <w:jc w:val="center"/>
              <w:rPr>
                <w:sz w:val="21"/>
                <w:szCs w:val="21"/>
              </w:rPr>
            </w:pPr>
            <w:r>
              <w:rPr>
                <w:rFonts w:hint="eastAsia"/>
                <w:sz w:val="21"/>
                <w:szCs w:val="21"/>
              </w:rPr>
              <w:t>最高限价</w:t>
            </w:r>
          </w:p>
        </w:tc>
      </w:tr>
      <w:tr>
        <w:tblPrEx>
          <w:tblBorders>
            <w:top w:val="double" w:color="auto" w:sz="6" w:space="0"/>
            <w:left w:val="double" w:color="auto" w:sz="6" w:space="0"/>
            <w:bottom w:val="double" w:color="auto" w:sz="6" w:space="0"/>
            <w:right w:val="double" w:color="auto" w:sz="6" w:space="0"/>
            <w:insideH w:val="single" w:color="auto" w:sz="4" w:space="0"/>
            <w:insideV w:val="single" w:color="auto" w:sz="4" w:space="0"/>
          </w:tblBorders>
          <w:tblCellMar>
            <w:top w:w="0" w:type="dxa"/>
            <w:left w:w="108" w:type="dxa"/>
            <w:bottom w:w="0" w:type="dxa"/>
            <w:right w:w="108" w:type="dxa"/>
          </w:tblCellMar>
        </w:tblPrEx>
        <w:trPr>
          <w:cantSplit/>
          <w:trHeight w:val="1135" w:hRule="atLeast"/>
          <w:jc w:val="center"/>
        </w:trPr>
        <w:tc>
          <w:tcPr>
            <w:tcW w:w="2562" w:type="dxa"/>
            <w:noWrap/>
            <w:vAlign w:val="center"/>
          </w:tcPr>
          <w:p>
            <w:pPr>
              <w:jc w:val="center"/>
              <w:rPr>
                <w:sz w:val="21"/>
                <w:szCs w:val="21"/>
              </w:rPr>
            </w:pPr>
            <w:r>
              <w:rPr>
                <w:sz w:val="21"/>
                <w:szCs w:val="21"/>
              </w:rPr>
              <w:t>湛江中心人民医院静脉用药</w:t>
            </w:r>
            <w:r>
              <w:rPr>
                <w:rFonts w:hint="eastAsia"/>
                <w:sz w:val="21"/>
                <w:szCs w:val="21"/>
              </w:rPr>
              <w:t>调配中心加装电梯</w:t>
            </w:r>
          </w:p>
        </w:tc>
        <w:tc>
          <w:tcPr>
            <w:tcW w:w="1134" w:type="dxa"/>
            <w:noWrap/>
            <w:vAlign w:val="center"/>
          </w:tcPr>
          <w:p>
            <w:pPr>
              <w:jc w:val="center"/>
              <w:rPr>
                <w:sz w:val="21"/>
                <w:szCs w:val="21"/>
              </w:rPr>
            </w:pPr>
            <w:r>
              <w:rPr>
                <w:rFonts w:hint="eastAsia"/>
                <w:sz w:val="21"/>
                <w:szCs w:val="21"/>
              </w:rPr>
              <w:t>1台</w:t>
            </w:r>
          </w:p>
        </w:tc>
        <w:tc>
          <w:tcPr>
            <w:tcW w:w="2676" w:type="dxa"/>
            <w:noWrap/>
            <w:vAlign w:val="center"/>
          </w:tcPr>
          <w:p>
            <w:pPr>
              <w:jc w:val="center"/>
              <w:rPr>
                <w:sz w:val="21"/>
                <w:szCs w:val="21"/>
              </w:rPr>
            </w:pPr>
            <w:r>
              <w:rPr>
                <w:rFonts w:hint="eastAsia"/>
                <w:sz w:val="21"/>
                <w:szCs w:val="21"/>
              </w:rPr>
              <w:t>合同签订之日起6</w:t>
            </w:r>
            <w:r>
              <w:rPr>
                <w:sz w:val="21"/>
                <w:szCs w:val="21"/>
              </w:rPr>
              <w:t>0</w:t>
            </w:r>
            <w:r>
              <w:rPr>
                <w:rFonts w:hint="eastAsia"/>
                <w:sz w:val="21"/>
                <w:szCs w:val="21"/>
              </w:rPr>
              <w:t>天内交货及安装完毕并通过验收。</w:t>
            </w:r>
          </w:p>
        </w:tc>
        <w:tc>
          <w:tcPr>
            <w:tcW w:w="2522" w:type="dxa"/>
            <w:noWrap/>
            <w:vAlign w:val="center"/>
          </w:tcPr>
          <w:p>
            <w:pPr>
              <w:jc w:val="center"/>
              <w:rPr>
                <w:sz w:val="21"/>
                <w:szCs w:val="21"/>
              </w:rPr>
            </w:pPr>
            <w:r>
              <w:fldChar w:fldCharType="begin"/>
            </w:r>
            <w:r>
              <w:instrText xml:space="preserve"> HYPERLINK "file:///\\\\2604.981.35" </w:instrText>
            </w:r>
            <w:r>
              <w:fldChar w:fldCharType="separate"/>
            </w:r>
            <w:r>
              <w:rPr>
                <w:rFonts w:hint="eastAsia"/>
                <w:sz w:val="21"/>
                <w:szCs w:val="21"/>
              </w:rPr>
              <w:t>￥237000.00</w:t>
            </w:r>
            <w:r>
              <w:rPr>
                <w:rFonts w:hint="eastAsia"/>
                <w:sz w:val="21"/>
                <w:szCs w:val="21"/>
              </w:rPr>
              <w:fldChar w:fldCharType="end"/>
            </w:r>
            <w:r>
              <w:rPr>
                <w:rFonts w:hint="eastAsia"/>
                <w:sz w:val="21"/>
                <w:szCs w:val="21"/>
              </w:rPr>
              <w:t>元（</w:t>
            </w:r>
            <w:r>
              <w:rPr>
                <w:rFonts w:hint="eastAsia"/>
                <w:sz w:val="21"/>
                <w:szCs w:val="21"/>
                <w:lang w:val="zh-CN"/>
              </w:rPr>
              <w:t>人民币</w:t>
            </w:r>
            <w:r>
              <w:rPr>
                <w:sz w:val="21"/>
                <w:szCs w:val="21"/>
                <w:lang w:val="zh-CN"/>
              </w:rPr>
              <w:fldChar w:fldCharType="begin"/>
            </w:r>
            <w:r>
              <w:rPr>
                <w:rFonts w:hint="eastAsia"/>
                <w:sz w:val="21"/>
                <w:szCs w:val="21"/>
                <w:lang w:val="zh-CN"/>
              </w:rPr>
              <w:instrText xml:space="preserve">= 1800000 \* CHINESENUM2</w:instrText>
            </w:r>
            <w:r>
              <w:rPr>
                <w:sz w:val="21"/>
                <w:szCs w:val="21"/>
                <w:lang w:val="zh-CN"/>
              </w:rPr>
              <w:fldChar w:fldCharType="separate"/>
            </w:r>
            <w:r>
              <w:rPr>
                <w:rFonts w:hint="eastAsia"/>
                <w:sz w:val="21"/>
                <w:szCs w:val="21"/>
                <w:lang w:val="zh-CN"/>
              </w:rPr>
              <w:t>贰拾叁万</w:t>
            </w:r>
            <w:r>
              <w:rPr>
                <w:sz w:val="21"/>
                <w:szCs w:val="21"/>
                <w:lang w:val="zh-CN"/>
              </w:rPr>
              <w:fldChar w:fldCharType="end"/>
            </w:r>
            <w:r>
              <w:rPr>
                <w:rFonts w:hint="eastAsia"/>
                <w:sz w:val="21"/>
                <w:szCs w:val="21"/>
                <w:lang w:val="zh-CN"/>
              </w:rPr>
              <w:t>元整）</w:t>
            </w:r>
          </w:p>
        </w:tc>
      </w:tr>
    </w:tbl>
    <w:p>
      <w:pPr>
        <w:spacing w:line="360" w:lineRule="auto"/>
        <w:rPr>
          <w:sz w:val="21"/>
          <w:szCs w:val="21"/>
        </w:rPr>
      </w:pPr>
      <w:r>
        <w:rPr>
          <w:rFonts w:hint="eastAsia"/>
          <w:sz w:val="21"/>
          <w:szCs w:val="21"/>
        </w:rPr>
        <w:t>（2.1）明细表</w:t>
      </w:r>
    </w:p>
    <w:tbl>
      <w:tblPr>
        <w:tblStyle w:val="7"/>
        <w:tblW w:w="90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9"/>
        <w:gridCol w:w="2561"/>
        <w:gridCol w:w="1276"/>
        <w:gridCol w:w="1559"/>
        <w:gridCol w:w="1418"/>
        <w:gridCol w:w="992"/>
        <w:gridCol w:w="7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469"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序号</w:t>
            </w:r>
          </w:p>
        </w:tc>
        <w:tc>
          <w:tcPr>
            <w:tcW w:w="2561"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名   称</w:t>
            </w: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载重(kg)</w:t>
            </w:r>
          </w:p>
        </w:tc>
        <w:tc>
          <w:tcPr>
            <w:tcW w:w="1559"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速度（m/s）</w:t>
            </w:r>
          </w:p>
        </w:tc>
        <w:tc>
          <w:tcPr>
            <w:tcW w:w="1418"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层站</w:t>
            </w:r>
          </w:p>
        </w:tc>
        <w:tc>
          <w:tcPr>
            <w:tcW w:w="992"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单位</w:t>
            </w:r>
          </w:p>
        </w:tc>
        <w:tc>
          <w:tcPr>
            <w:tcW w:w="782"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469"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1</w:t>
            </w:r>
          </w:p>
        </w:tc>
        <w:tc>
          <w:tcPr>
            <w:tcW w:w="2561"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无机房客梯</w:t>
            </w: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sz w:val="21"/>
                <w:szCs w:val="21"/>
              </w:rPr>
              <w:t>1600</w:t>
            </w:r>
          </w:p>
        </w:tc>
        <w:tc>
          <w:tcPr>
            <w:tcW w:w="1559"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1.0</w:t>
            </w:r>
          </w:p>
        </w:tc>
        <w:tc>
          <w:tcPr>
            <w:tcW w:w="1418"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2/2/4</w:t>
            </w:r>
          </w:p>
        </w:tc>
        <w:tc>
          <w:tcPr>
            <w:tcW w:w="992"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台</w:t>
            </w:r>
          </w:p>
        </w:tc>
        <w:tc>
          <w:tcPr>
            <w:tcW w:w="782" w:type="dxa"/>
            <w:tcBorders>
              <w:top w:val="single" w:color="auto" w:sz="4" w:space="0"/>
              <w:left w:val="single" w:color="auto" w:sz="4" w:space="0"/>
              <w:bottom w:val="single" w:color="auto" w:sz="4" w:space="0"/>
              <w:right w:val="single" w:color="auto" w:sz="4" w:space="0"/>
            </w:tcBorders>
            <w:noWrap/>
            <w:vAlign w:val="center"/>
          </w:tcPr>
          <w:p>
            <w:pPr>
              <w:jc w:val="center"/>
              <w:rPr>
                <w:sz w:val="21"/>
                <w:szCs w:val="21"/>
              </w:rPr>
            </w:pPr>
            <w:r>
              <w:rPr>
                <w:rFonts w:hint="eastAsia"/>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057" w:type="dxa"/>
            <w:gridSpan w:val="7"/>
            <w:tcBorders>
              <w:top w:val="single" w:color="auto" w:sz="4" w:space="0"/>
              <w:left w:val="single" w:color="auto" w:sz="4" w:space="0"/>
              <w:bottom w:val="single" w:color="auto" w:sz="4" w:space="0"/>
              <w:right w:val="single" w:color="auto" w:sz="4" w:space="0"/>
            </w:tcBorders>
            <w:noWrap/>
            <w:vAlign w:val="center"/>
          </w:tcPr>
          <w:p>
            <w:pPr>
              <w:rPr>
                <w:sz w:val="21"/>
                <w:szCs w:val="21"/>
              </w:rPr>
            </w:pPr>
            <w:r>
              <w:rPr>
                <w:rFonts w:hint="eastAsia"/>
                <w:sz w:val="21"/>
                <w:szCs w:val="21"/>
              </w:rPr>
              <w:t>项目内容</w:t>
            </w:r>
            <w:r>
              <w:rPr>
                <w:sz w:val="21"/>
                <w:szCs w:val="21"/>
              </w:rPr>
              <w:t>包含以下内容：设备、安装、</w:t>
            </w:r>
            <w:r>
              <w:rPr>
                <w:rFonts w:hint="eastAsia"/>
                <w:sz w:val="21"/>
                <w:szCs w:val="21"/>
              </w:rPr>
              <w:t>吊</w:t>
            </w:r>
            <w:r>
              <w:rPr>
                <w:sz w:val="21"/>
                <w:szCs w:val="21"/>
              </w:rPr>
              <w:t>装、</w:t>
            </w:r>
            <w:r>
              <w:rPr>
                <w:rFonts w:hint="eastAsia"/>
                <w:sz w:val="21"/>
                <w:szCs w:val="21"/>
              </w:rPr>
              <w:t>验</w:t>
            </w:r>
            <w:r>
              <w:rPr>
                <w:sz w:val="21"/>
                <w:szCs w:val="21"/>
              </w:rPr>
              <w:t>收、调试、运</w:t>
            </w:r>
            <w:r>
              <w:rPr>
                <w:rFonts w:hint="eastAsia"/>
                <w:sz w:val="21"/>
                <w:szCs w:val="21"/>
              </w:rPr>
              <w:t>输。</w:t>
            </w:r>
          </w:p>
        </w:tc>
      </w:tr>
    </w:tbl>
    <w:p>
      <w:pPr>
        <w:spacing w:line="360" w:lineRule="auto"/>
        <w:rPr>
          <w:sz w:val="21"/>
          <w:szCs w:val="21"/>
        </w:rPr>
      </w:pPr>
      <w:r>
        <w:rPr>
          <w:rFonts w:hint="eastAsia"/>
          <w:sz w:val="21"/>
          <w:szCs w:val="21"/>
        </w:rPr>
        <w:t xml:space="preserve"> 说明：投标人的报价不能高于最高限价，否则视为非响应性报价处理。</w:t>
      </w:r>
    </w:p>
    <w:p>
      <w:pPr>
        <w:rPr>
          <w:b/>
          <w:sz w:val="21"/>
          <w:szCs w:val="21"/>
        </w:rPr>
      </w:pPr>
    </w:p>
    <w:p>
      <w:pPr>
        <w:spacing w:line="360" w:lineRule="auto"/>
        <w:ind w:firstLine="3584" w:firstLineChars="1700"/>
        <w:rPr>
          <w:rFonts w:hAnsi="宋体"/>
          <w:b/>
          <w:bCs/>
          <w:szCs w:val="21"/>
        </w:rPr>
      </w:pPr>
      <w:r>
        <w:rPr>
          <w:rFonts w:hint="eastAsia"/>
          <w:b/>
          <w:sz w:val="21"/>
          <w:szCs w:val="21"/>
          <w:lang w:val="zh-CN"/>
        </w:rPr>
        <w:t xml:space="preserve">三、技术指标及要求：  </w:t>
      </w:r>
    </w:p>
    <w:tbl>
      <w:tblPr>
        <w:tblStyle w:val="7"/>
        <w:tblpPr w:leftFromText="180" w:rightFromText="180" w:vertAnchor="text" w:horzAnchor="margin" w:tblpXSpec="center" w:tblpY="314"/>
        <w:tblW w:w="98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4"/>
        <w:gridCol w:w="4451"/>
        <w:gridCol w:w="44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395" w:type="dxa"/>
            <w:gridSpan w:val="2"/>
            <w:vAlign w:val="center"/>
          </w:tcPr>
          <w:p>
            <w:r>
              <w:rPr>
                <w:rFonts w:hint="eastAsia"/>
              </w:rPr>
              <w:t>电梯序号（楼号）及台数</w:t>
            </w:r>
          </w:p>
        </w:tc>
        <w:tc>
          <w:tcPr>
            <w:tcW w:w="4494" w:type="dxa"/>
          </w:tcPr>
          <w:p>
            <w:pPr>
              <w:jc w:val="center"/>
            </w:pPr>
            <w:r>
              <w:rPr>
                <w:rFonts w:hint="eastAsia"/>
              </w:rPr>
              <w:t>序号</w:t>
            </w:r>
            <w:r>
              <w:rPr>
                <w:rFonts w:hint="eastAsia"/>
                <w:u w:val="single"/>
              </w:rPr>
              <w:t xml:space="preserve">  1  </w:t>
            </w:r>
            <w:r>
              <w:rPr>
                <w:rFonts w:hint="eastAsia"/>
              </w:rPr>
              <w:t xml:space="preserve">  楼号</w:t>
            </w:r>
            <w:r>
              <w:rPr>
                <w:rFonts w:hint="eastAsia"/>
                <w:u w:val="single"/>
              </w:rPr>
              <w:t xml:space="preserve"> 1#</w:t>
            </w:r>
            <w:r>
              <w:rPr>
                <w:rFonts w:hint="eastAsia" w:hAnsi="宋体"/>
                <w:szCs w:val="21"/>
                <w:u w:val="single"/>
              </w:rPr>
              <w:t xml:space="preserve">  </w:t>
            </w:r>
            <w:r>
              <w:rPr>
                <w:rFonts w:hint="eastAsia"/>
                <w:u w:val="single"/>
              </w:rPr>
              <w:t xml:space="preserve"> </w:t>
            </w:r>
            <w:r>
              <w:rPr>
                <w:rFonts w:hint="eastAsia"/>
              </w:rPr>
              <w:t xml:space="preserve"> 台数</w:t>
            </w:r>
            <w:r>
              <w:rPr>
                <w:rFonts w:hint="eastAsia"/>
                <w:u w:val="single"/>
              </w:rPr>
              <w:t xml:space="preserve"> 1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395" w:type="dxa"/>
            <w:gridSpan w:val="2"/>
            <w:vAlign w:val="center"/>
          </w:tcPr>
          <w:p>
            <w:r>
              <w:rPr>
                <w:rFonts w:hint="eastAsia"/>
              </w:rPr>
              <w:t>电梯名称或用途</w:t>
            </w:r>
          </w:p>
        </w:tc>
        <w:tc>
          <w:tcPr>
            <w:tcW w:w="4494" w:type="dxa"/>
          </w:tcPr>
          <w:p>
            <w:pPr>
              <w:jc w:val="center"/>
            </w:pPr>
            <w:r>
              <w:rPr>
                <w:rFonts w:hint="eastAsia"/>
              </w:rPr>
              <w:t>无机房乘客电梯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restart"/>
            <w:vAlign w:val="center"/>
          </w:tcPr>
          <w:p>
            <w:pPr>
              <w:jc w:val="center"/>
            </w:pPr>
            <w:r>
              <w:rPr>
                <w:rFonts w:hint="eastAsia"/>
              </w:rPr>
              <w:t>主要参数</w:t>
            </w:r>
          </w:p>
        </w:tc>
        <w:tc>
          <w:tcPr>
            <w:tcW w:w="4451" w:type="dxa"/>
          </w:tcPr>
          <w:p>
            <w:r>
              <w:rPr>
                <w:rFonts w:hint="eastAsia"/>
              </w:rPr>
              <w:t>电梯型号</w:t>
            </w:r>
          </w:p>
        </w:tc>
        <w:tc>
          <w:tcPr>
            <w:tcW w:w="4494" w:type="dxa"/>
          </w:tcPr>
          <w:p>
            <w:pPr>
              <w:jc w:val="center"/>
            </w:pPr>
            <w:r>
              <w:rPr>
                <w:rFonts w:hint="eastAsia"/>
              </w:rPr>
              <w:t>ESW-1600-CO1.0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额定载重（kg）</w:t>
            </w:r>
          </w:p>
        </w:tc>
        <w:tc>
          <w:tcPr>
            <w:tcW w:w="4494" w:type="dxa"/>
          </w:tcPr>
          <w:p>
            <w:pPr>
              <w:jc w:val="center"/>
            </w:pPr>
            <w:r>
              <w:rPr>
                <w:rFonts w:hint="eastAsia"/>
              </w:rPr>
              <w:t>1</w:t>
            </w:r>
            <w:r>
              <w:t>60</w:t>
            </w: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额定速度（m/s）</w:t>
            </w:r>
          </w:p>
        </w:tc>
        <w:tc>
          <w:tcPr>
            <w:tcW w:w="4494" w:type="dxa"/>
          </w:tcPr>
          <w:p>
            <w:pPr>
              <w:jc w:val="center"/>
            </w:pPr>
            <w:r>
              <w:rPr>
                <w:rFonts w:hint="eastAsia"/>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层/站/门</w:t>
            </w:r>
          </w:p>
        </w:tc>
        <w:tc>
          <w:tcPr>
            <w:tcW w:w="4494" w:type="dxa"/>
          </w:tcPr>
          <w:p>
            <w:pPr>
              <w:jc w:val="center"/>
            </w:pPr>
            <w:r>
              <w:rPr>
                <w:rFonts w:hint="eastAsia"/>
                <w:u w:val="single"/>
              </w:rPr>
              <w:t xml:space="preserve">2 </w:t>
            </w:r>
            <w:r>
              <w:rPr>
                <w:rFonts w:hint="eastAsia"/>
              </w:rPr>
              <w:t>层/</w:t>
            </w:r>
            <w:r>
              <w:rPr>
                <w:rFonts w:hint="eastAsia"/>
                <w:u w:val="single"/>
              </w:rPr>
              <w:t xml:space="preserve">  2 </w:t>
            </w:r>
            <w:r>
              <w:rPr>
                <w:rFonts w:hint="eastAsia"/>
              </w:rPr>
              <w:t>站/</w:t>
            </w:r>
            <w:r>
              <w:rPr>
                <w:rFonts w:hint="eastAsia"/>
                <w:u w:val="single"/>
              </w:rPr>
              <w:t xml:space="preserve"> 4 </w:t>
            </w:r>
            <w:r>
              <w:rPr>
                <w:rFonts w:hint="eastAsia"/>
              </w:rPr>
              <w:t>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395" w:type="dxa"/>
            <w:gridSpan w:val="2"/>
            <w:vAlign w:val="center"/>
          </w:tcPr>
          <w:p>
            <w:pPr>
              <w:ind w:firstLine="360" w:firstLineChars="150"/>
            </w:pPr>
            <w:r>
              <w:rPr>
                <w:rFonts w:hint="eastAsia"/>
              </w:rPr>
              <w:t>驱动方式</w:t>
            </w:r>
          </w:p>
        </w:tc>
        <w:tc>
          <w:tcPr>
            <w:tcW w:w="4494" w:type="dxa"/>
          </w:tcPr>
          <w:p>
            <w:pPr>
              <w:jc w:val="center"/>
            </w:pPr>
            <w:r>
              <w:rPr>
                <w:rFonts w:hint="eastAsia" w:hAnsi="宋体"/>
                <w:szCs w:val="21"/>
              </w:rPr>
              <w:t>交流变频调压调速(VVVF)</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Align w:val="center"/>
          </w:tcPr>
          <w:p>
            <w:pPr>
              <w:jc w:val="center"/>
            </w:pPr>
            <w:r>
              <w:rPr>
                <w:rFonts w:hint="eastAsia"/>
              </w:rPr>
              <w:t>电源</w:t>
            </w:r>
          </w:p>
        </w:tc>
        <w:tc>
          <w:tcPr>
            <w:tcW w:w="8945" w:type="dxa"/>
            <w:gridSpan w:val="2"/>
            <w:vAlign w:val="center"/>
          </w:tcPr>
          <w:p>
            <w:r>
              <w:rPr>
                <w:rFonts w:hint="eastAsia"/>
              </w:rPr>
              <w:t>动力电源：三相五线，AC380V，50Hz,</w:t>
            </w:r>
            <w:r>
              <w:rPr>
                <w:rFonts w:hint="eastAsia" w:hAnsi="宋体"/>
                <w:szCs w:val="21"/>
              </w:rPr>
              <w:t xml:space="preserve"> 独立地线</w:t>
            </w:r>
            <w:r>
              <w:rPr>
                <w:rFonts w:hint="eastAsia"/>
              </w:rPr>
              <w:t>；照明电源：单相AC220V，50Hz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restart"/>
            <w:vAlign w:val="center"/>
          </w:tcPr>
          <w:p>
            <w:pPr>
              <w:jc w:val="center"/>
            </w:pPr>
            <w:r>
              <w:rPr>
                <w:rFonts w:hint="eastAsia"/>
              </w:rPr>
              <w:t>电梯井道</w:t>
            </w:r>
          </w:p>
        </w:tc>
        <w:tc>
          <w:tcPr>
            <w:tcW w:w="4451" w:type="dxa"/>
          </w:tcPr>
          <w:p>
            <w:r>
              <w:rPr>
                <w:rFonts w:hint="eastAsia"/>
              </w:rPr>
              <w:t>井道平面尺寸（宽×深，mm）</w:t>
            </w:r>
          </w:p>
        </w:tc>
        <w:tc>
          <w:tcPr>
            <w:tcW w:w="4494" w:type="dxa"/>
          </w:tcPr>
          <w:p>
            <w:pPr>
              <w:jc w:val="center"/>
            </w:pPr>
            <w:r>
              <w:rPr>
                <w:rFonts w:hint="eastAsia"/>
              </w:rPr>
              <w:t>2700×2190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底坑深度（mm）</w:t>
            </w:r>
          </w:p>
        </w:tc>
        <w:tc>
          <w:tcPr>
            <w:tcW w:w="4494" w:type="dxa"/>
          </w:tcPr>
          <w:p>
            <w:pPr>
              <w:jc w:val="center"/>
            </w:pPr>
            <w:r>
              <w:rPr>
                <w:rFonts w:hint="eastAsia"/>
              </w:rPr>
              <w:t>1700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顶层高度（mm）</w:t>
            </w:r>
          </w:p>
        </w:tc>
        <w:tc>
          <w:tcPr>
            <w:tcW w:w="4494" w:type="dxa"/>
          </w:tcPr>
          <w:p>
            <w:pPr>
              <w:jc w:val="center"/>
            </w:pPr>
            <w:r>
              <w:rPr>
                <w:rFonts w:hint="eastAsia"/>
              </w:rPr>
              <w:t>4100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提升高度（mm）</w:t>
            </w:r>
          </w:p>
        </w:tc>
        <w:tc>
          <w:tcPr>
            <w:tcW w:w="4494" w:type="dxa"/>
          </w:tcPr>
          <w:p>
            <w:pPr>
              <w:jc w:val="center"/>
            </w:pPr>
            <w:r>
              <w:rPr>
                <w:rFonts w:hint="eastAsia"/>
              </w:rPr>
              <w:t>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井道总高（mm）</w:t>
            </w:r>
          </w:p>
        </w:tc>
        <w:tc>
          <w:tcPr>
            <w:tcW w:w="4494" w:type="dxa"/>
          </w:tcPr>
          <w:p>
            <w:pPr>
              <w:jc w:val="center"/>
            </w:pPr>
            <w:r>
              <w:rPr>
                <w:rFonts w:hint="eastAsia"/>
              </w:rPr>
              <w:t>10800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rPr>
        <w:tc>
          <w:tcPr>
            <w:tcW w:w="944" w:type="dxa"/>
            <w:tcBorders>
              <w:bottom w:val="single" w:color="auto" w:sz="4" w:space="0"/>
            </w:tcBorders>
            <w:vAlign w:val="center"/>
          </w:tcPr>
          <w:p>
            <w:pPr>
              <w:jc w:val="center"/>
            </w:pPr>
            <w:r>
              <w:rPr>
                <w:rFonts w:hint="eastAsia"/>
              </w:rPr>
              <w:t>机房</w:t>
            </w:r>
          </w:p>
        </w:tc>
        <w:tc>
          <w:tcPr>
            <w:tcW w:w="4451" w:type="dxa"/>
            <w:tcBorders>
              <w:bottom w:val="single" w:color="auto" w:sz="4" w:space="0"/>
            </w:tcBorders>
          </w:tcPr>
          <w:p>
            <w:r>
              <w:rPr>
                <w:rFonts w:hint="eastAsia"/>
              </w:rPr>
              <w:t>机房尺寸（宽×深×高，mm）</w:t>
            </w:r>
          </w:p>
        </w:tc>
        <w:tc>
          <w:tcPr>
            <w:tcW w:w="4494" w:type="dxa"/>
          </w:tcPr>
          <w:p>
            <w:pPr>
              <w:jc w:val="center"/>
            </w:pPr>
            <w:r>
              <w:rPr>
                <w:rFonts w:hint="eastAsia"/>
              </w:rPr>
              <w:t>无机房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restart"/>
            <w:vAlign w:val="center"/>
          </w:tcPr>
          <w:p>
            <w:pPr>
              <w:jc w:val="center"/>
            </w:pPr>
            <w:r>
              <w:rPr>
                <w:rFonts w:hint="eastAsia"/>
              </w:rPr>
              <w:t>轿厢尺寸及</w:t>
            </w:r>
          </w:p>
          <w:p>
            <w:pPr>
              <w:jc w:val="center"/>
            </w:pPr>
            <w:r>
              <w:rPr>
                <w:rFonts w:hint="eastAsia"/>
              </w:rPr>
              <w:t>装饰</w:t>
            </w:r>
          </w:p>
        </w:tc>
        <w:tc>
          <w:tcPr>
            <w:tcW w:w="4451" w:type="dxa"/>
          </w:tcPr>
          <w:p>
            <w:r>
              <w:rPr>
                <w:rFonts w:hint="eastAsia"/>
              </w:rPr>
              <w:t>轿厢内尺寸（宽×深，mm）</w:t>
            </w:r>
          </w:p>
        </w:tc>
        <w:tc>
          <w:tcPr>
            <w:tcW w:w="4494" w:type="dxa"/>
          </w:tcPr>
          <w:p>
            <w:pPr>
              <w:jc w:val="center"/>
              <w:rPr>
                <w:b/>
              </w:rPr>
            </w:pPr>
            <w:r>
              <w:rPr>
                <w:rFonts w:hint="eastAsia"/>
                <w:b/>
              </w:rPr>
              <w:t>1800×1660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轿厢净高（mm）</w:t>
            </w:r>
          </w:p>
        </w:tc>
        <w:tc>
          <w:tcPr>
            <w:tcW w:w="4494" w:type="dxa"/>
          </w:tcPr>
          <w:p>
            <w:pPr>
              <w:jc w:val="center"/>
              <w:rPr>
                <w:b/>
              </w:rPr>
            </w:pPr>
            <w:r>
              <w:rPr>
                <w:rFonts w:hint="eastAsia"/>
                <w:b/>
              </w:rPr>
              <w:t>2400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轿厢装饰</w:t>
            </w:r>
          </w:p>
        </w:tc>
        <w:tc>
          <w:tcPr>
            <w:tcW w:w="4494" w:type="dxa"/>
          </w:tcPr>
          <w:p>
            <w:pPr>
              <w:jc w:val="center"/>
            </w:pPr>
            <w:r>
              <w:rPr>
                <w:rFonts w:hint="eastAsia"/>
              </w:rPr>
              <w:t>发纹</w:t>
            </w:r>
            <w:r>
              <w:t>304</w:t>
            </w:r>
            <w:r>
              <w:rPr>
                <w:rFonts w:hint="eastAsia"/>
              </w:rPr>
              <w:t>不锈钢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轿顶（或吊顶）装饰</w:t>
            </w:r>
          </w:p>
        </w:tc>
        <w:tc>
          <w:tcPr>
            <w:tcW w:w="4494" w:type="dxa"/>
          </w:tcPr>
          <w:p>
            <w:pPr>
              <w:jc w:val="center"/>
            </w:pPr>
            <w:r>
              <w:rPr>
                <w:rFonts w:hint="eastAsia"/>
              </w:rPr>
              <w:t>CL722L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轿厢地板装饰</w:t>
            </w:r>
          </w:p>
        </w:tc>
        <w:tc>
          <w:tcPr>
            <w:tcW w:w="4494" w:type="dxa"/>
          </w:tcPr>
          <w:p>
            <w:pPr>
              <w:jc w:val="center"/>
            </w:pPr>
            <w:r>
              <w:rPr>
                <w:rFonts w:hint="eastAsia"/>
              </w:rPr>
              <w:t>麻花304不锈钢板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允许附加最大装饰重量（kg）</w:t>
            </w:r>
          </w:p>
        </w:tc>
        <w:tc>
          <w:tcPr>
            <w:tcW w:w="4494" w:type="dxa"/>
          </w:tcPr>
          <w:p>
            <w:pPr>
              <w:jc w:val="center"/>
            </w:pPr>
            <w:r>
              <w:rPr>
                <w:rFonts w:hint="eastAsia"/>
              </w:rPr>
              <w:t>100KG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轿厢其余装饰要求</w:t>
            </w:r>
          </w:p>
        </w:tc>
        <w:tc>
          <w:tcPr>
            <w:tcW w:w="4494" w:type="dxa"/>
          </w:tcPr>
          <w:p>
            <w:pPr>
              <w:jc w:val="center"/>
            </w:pPr>
            <w:r>
              <w:rPr>
                <w:rFonts w:hint="eastAsia"/>
              </w:rPr>
              <w:t>发纹</w:t>
            </w:r>
            <w:r>
              <w:t>304</w:t>
            </w:r>
            <w:r>
              <w:rPr>
                <w:rFonts w:hint="eastAsia"/>
              </w:rPr>
              <w:t>不锈钢板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restart"/>
            <w:vAlign w:val="center"/>
          </w:tcPr>
          <w:p>
            <w:pPr>
              <w:jc w:val="center"/>
            </w:pPr>
            <w:r>
              <w:rPr>
                <w:rFonts w:hint="eastAsia"/>
              </w:rPr>
              <w:t>开门及</w:t>
            </w:r>
          </w:p>
          <w:p>
            <w:pPr>
              <w:jc w:val="center"/>
            </w:pPr>
            <w:r>
              <w:rPr>
                <w:rFonts w:hint="eastAsia"/>
              </w:rPr>
              <w:t>装饰</w:t>
            </w:r>
          </w:p>
        </w:tc>
        <w:tc>
          <w:tcPr>
            <w:tcW w:w="4451" w:type="dxa"/>
          </w:tcPr>
          <w:p>
            <w:r>
              <w:rPr>
                <w:rFonts w:hint="eastAsia"/>
              </w:rPr>
              <w:t>开门型式（单、双开门）</w:t>
            </w:r>
          </w:p>
        </w:tc>
        <w:tc>
          <w:tcPr>
            <w:tcW w:w="4494" w:type="dxa"/>
          </w:tcPr>
          <w:p>
            <w:pPr>
              <w:jc w:val="center"/>
              <w:rPr>
                <w:b/>
              </w:rPr>
            </w:pPr>
            <w:r>
              <w:rPr>
                <w:rFonts w:hint="eastAsia"/>
                <w:b/>
              </w:rPr>
              <w:t>贯通门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6" w:hRule="atLeast"/>
        </w:trPr>
        <w:tc>
          <w:tcPr>
            <w:tcW w:w="944" w:type="dxa"/>
            <w:vMerge w:val="continue"/>
            <w:vAlign w:val="center"/>
          </w:tcPr>
          <w:p>
            <w:pPr>
              <w:jc w:val="center"/>
            </w:pPr>
          </w:p>
        </w:tc>
        <w:tc>
          <w:tcPr>
            <w:tcW w:w="4451" w:type="dxa"/>
          </w:tcPr>
          <w:p>
            <w:pPr>
              <w:rPr>
                <w:sz w:val="18"/>
                <w:szCs w:val="18"/>
              </w:rPr>
            </w:pPr>
            <w:r>
              <w:rPr>
                <w:rFonts w:hint="eastAsia"/>
                <w:sz w:val="18"/>
                <w:szCs w:val="18"/>
              </w:rPr>
              <w:t>开门方式（中分双扇、中分四扇、旁开单扇、旁开双扇）</w:t>
            </w:r>
          </w:p>
        </w:tc>
        <w:tc>
          <w:tcPr>
            <w:tcW w:w="4494" w:type="dxa"/>
          </w:tcPr>
          <w:p>
            <w:pPr>
              <w:jc w:val="center"/>
              <w:rPr>
                <w:b/>
              </w:rPr>
            </w:pPr>
            <w:r>
              <w:rPr>
                <w:rFonts w:hint="eastAsia"/>
                <w:b/>
              </w:rPr>
              <w:t>双开双扇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开门方向（厅外看）及数量</w:t>
            </w:r>
          </w:p>
        </w:tc>
        <w:tc>
          <w:tcPr>
            <w:tcW w:w="4494" w:type="dxa"/>
          </w:tcPr>
          <w:p>
            <w:pPr>
              <w:jc w:val="center"/>
              <w:rPr>
                <w:b/>
              </w:rPr>
            </w:pPr>
            <w:r>
              <w:rPr>
                <w:rFonts w:hint="eastAsia"/>
                <w:b/>
              </w:rPr>
              <w:t>双开4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开门尺寸（宽×高，mm）</w:t>
            </w:r>
          </w:p>
        </w:tc>
        <w:tc>
          <w:tcPr>
            <w:tcW w:w="4494" w:type="dxa"/>
          </w:tcPr>
          <w:p>
            <w:pPr>
              <w:jc w:val="center"/>
              <w:rPr>
                <w:b/>
              </w:rPr>
            </w:pPr>
            <w:r>
              <w:rPr>
                <w:rFonts w:hint="eastAsia"/>
                <w:b/>
              </w:rPr>
              <w:t>1000×2100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轿门装饰</w:t>
            </w:r>
          </w:p>
        </w:tc>
        <w:tc>
          <w:tcPr>
            <w:tcW w:w="4494" w:type="dxa"/>
          </w:tcPr>
          <w:p>
            <w:pPr>
              <w:jc w:val="center"/>
            </w:pPr>
            <w:r>
              <w:rPr>
                <w:rFonts w:hint="eastAsia"/>
              </w:rPr>
              <w:t>发纹</w:t>
            </w:r>
            <w:r>
              <w:t>304</w:t>
            </w:r>
            <w:r>
              <w:rPr>
                <w:rFonts w:hint="eastAsia"/>
              </w:rPr>
              <w:t>不锈钢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层门装饰（首层）</w:t>
            </w:r>
          </w:p>
        </w:tc>
        <w:tc>
          <w:tcPr>
            <w:tcW w:w="4494" w:type="dxa"/>
          </w:tcPr>
          <w:p>
            <w:pPr>
              <w:jc w:val="center"/>
            </w:pPr>
            <w:r>
              <w:rPr>
                <w:rFonts w:hint="eastAsia"/>
                <w:u w:val="single"/>
              </w:rPr>
              <w:t xml:space="preserve"> 1  </w:t>
            </w:r>
            <w:r>
              <w:rPr>
                <w:rFonts w:hint="eastAsia"/>
              </w:rPr>
              <w:t>发纹</w:t>
            </w:r>
            <w:r>
              <w:t>304</w:t>
            </w:r>
            <w:r>
              <w:rPr>
                <w:rFonts w:hint="eastAsia"/>
              </w:rPr>
              <w:t>不锈钢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层门装饰（其余层）</w:t>
            </w:r>
          </w:p>
        </w:tc>
        <w:tc>
          <w:tcPr>
            <w:tcW w:w="4494" w:type="dxa"/>
          </w:tcPr>
          <w:p>
            <w:pPr>
              <w:jc w:val="center"/>
            </w:pPr>
            <w:r>
              <w:rPr>
                <w:rFonts w:hint="eastAsia"/>
              </w:rPr>
              <w:t>发纹</w:t>
            </w:r>
            <w:r>
              <w:t>304</w:t>
            </w:r>
            <w:r>
              <w:rPr>
                <w:rFonts w:hint="eastAsia"/>
              </w:rPr>
              <w:t>不锈钢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门套型式及装饰（首层）</w:t>
            </w:r>
          </w:p>
        </w:tc>
        <w:tc>
          <w:tcPr>
            <w:tcW w:w="4494" w:type="dxa"/>
          </w:tcPr>
          <w:p>
            <w:pPr>
              <w:jc w:val="center"/>
            </w:pPr>
            <w:r>
              <w:rPr>
                <w:rFonts w:hint="eastAsia"/>
                <w:u w:val="single"/>
              </w:rPr>
              <w:t xml:space="preserve">  1 </w:t>
            </w:r>
            <w:r>
              <w:rPr>
                <w:rFonts w:hint="eastAsia"/>
              </w:rPr>
              <w:t>层发纹</w:t>
            </w:r>
            <w:r>
              <w:t>304</w:t>
            </w:r>
            <w:r>
              <w:rPr>
                <w:rFonts w:hint="eastAsia"/>
              </w:rPr>
              <w:t>不锈钢小门套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门套型式及装饰（其余层）</w:t>
            </w:r>
          </w:p>
        </w:tc>
        <w:tc>
          <w:tcPr>
            <w:tcW w:w="4494" w:type="dxa"/>
          </w:tcPr>
          <w:p>
            <w:pPr>
              <w:jc w:val="center"/>
            </w:pPr>
            <w:r>
              <w:rPr>
                <w:rFonts w:hint="eastAsia"/>
              </w:rPr>
              <w:t>发纹</w:t>
            </w:r>
            <w:r>
              <w:t>304</w:t>
            </w:r>
            <w:r>
              <w:rPr>
                <w:rFonts w:hint="eastAsia"/>
              </w:rPr>
              <w:t>不锈钢小门套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大门套型式及装饰</w:t>
            </w:r>
          </w:p>
        </w:tc>
        <w:tc>
          <w:tcPr>
            <w:tcW w:w="4494" w:type="dxa"/>
          </w:tcPr>
          <w:p>
            <w:pPr>
              <w:jc w:val="center"/>
            </w:pPr>
            <w:r>
              <w:rPr>
                <w:rFonts w:hint="eastAsia"/>
              </w:rPr>
              <w:t>发纹</w:t>
            </w:r>
            <w:r>
              <w:t>304</w:t>
            </w:r>
            <w:r>
              <w:rPr>
                <w:rFonts w:hint="eastAsia"/>
              </w:rPr>
              <w:t>不锈钢大门套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restart"/>
            <w:vAlign w:val="center"/>
          </w:tcPr>
          <w:p>
            <w:pPr>
              <w:jc w:val="center"/>
            </w:pPr>
            <w:r>
              <w:rPr>
                <w:rFonts w:hint="eastAsia"/>
              </w:rPr>
              <w:t>层站显示</w:t>
            </w:r>
          </w:p>
        </w:tc>
        <w:tc>
          <w:tcPr>
            <w:tcW w:w="4451" w:type="dxa"/>
          </w:tcPr>
          <w:p>
            <w:r>
              <w:rPr>
                <w:rFonts w:hint="eastAsia"/>
              </w:rPr>
              <w:t>操纵箱型号</w:t>
            </w:r>
          </w:p>
        </w:tc>
        <w:tc>
          <w:tcPr>
            <w:tcW w:w="4494" w:type="dxa"/>
          </w:tcPr>
          <w:p>
            <w:pPr>
              <w:jc w:val="center"/>
            </w:pPr>
            <w:r>
              <w:rPr>
                <w:rFonts w:hint="eastAsia"/>
              </w:rPr>
              <w:t>BOP56-SRA11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召唤箱型号</w:t>
            </w:r>
          </w:p>
        </w:tc>
        <w:tc>
          <w:tcPr>
            <w:tcW w:w="4494" w:type="dxa"/>
          </w:tcPr>
          <w:p>
            <w:pPr>
              <w:jc w:val="center"/>
            </w:pPr>
            <w:r>
              <w:rPr>
                <w:rFonts w:hint="eastAsia"/>
              </w:rPr>
              <w:t>HBI56-SRA36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服务楼层</w:t>
            </w:r>
          </w:p>
        </w:tc>
        <w:tc>
          <w:tcPr>
            <w:tcW w:w="4494" w:type="dxa"/>
          </w:tcPr>
          <w:p>
            <w:pPr>
              <w:jc w:val="center"/>
            </w:pPr>
            <w:r>
              <w:rPr>
                <w:rFonts w:hint="eastAsia"/>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44" w:type="dxa"/>
            <w:vMerge w:val="continue"/>
            <w:vAlign w:val="center"/>
          </w:tcPr>
          <w:p>
            <w:pPr>
              <w:jc w:val="center"/>
            </w:pPr>
          </w:p>
        </w:tc>
        <w:tc>
          <w:tcPr>
            <w:tcW w:w="4451" w:type="dxa"/>
          </w:tcPr>
          <w:p>
            <w:r>
              <w:rPr>
                <w:rFonts w:hint="eastAsia"/>
              </w:rPr>
              <w:t>基站</w:t>
            </w:r>
          </w:p>
        </w:tc>
        <w:tc>
          <w:tcPr>
            <w:tcW w:w="4494" w:type="dxa"/>
          </w:tcPr>
          <w:p>
            <w:pPr>
              <w:jc w:val="center"/>
            </w:pPr>
            <w:r>
              <w:rPr>
                <w:rFonts w:hint="eastAsia"/>
              </w:rPr>
              <w:t>标配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0" w:hRule="atLeast"/>
        </w:trPr>
        <w:tc>
          <w:tcPr>
            <w:tcW w:w="944" w:type="dxa"/>
            <w:vAlign w:val="center"/>
          </w:tcPr>
          <w:p>
            <w:pPr>
              <w:jc w:val="center"/>
            </w:pPr>
            <w:r>
              <w:rPr>
                <w:rFonts w:hint="eastAsia"/>
              </w:rPr>
              <w:t>电梯基本功能</w:t>
            </w:r>
          </w:p>
        </w:tc>
        <w:tc>
          <w:tcPr>
            <w:tcW w:w="8945" w:type="dxa"/>
            <w:gridSpan w:val="2"/>
          </w:tcPr>
          <w:p>
            <w:pPr>
              <w:spacing w:line="240" w:lineRule="exact"/>
              <w:rPr>
                <w:sz w:val="18"/>
                <w:szCs w:val="18"/>
              </w:rPr>
            </w:pPr>
            <w:r>
              <w:rPr>
                <w:rFonts w:hint="eastAsia" w:hAnsi="宋体" w:cs="宋体"/>
                <w:sz w:val="20"/>
                <w:szCs w:val="20"/>
              </w:rPr>
              <w:t>1.安全接触器触点检测保护；2.按钮控制；3.报警按钮；4.平层信号灯；；5.变频器多重保护；6.层楼位置信号的自动修正；7.超速保护；8.超载保护；9.磁角度自学习功能；10.错相保护；11.到站钟；12.层楼显示器；13.电梯自救运行；14.反向时自动消指令；15. 防捣乱功能（7层及以上）；16.防溜车保护；17.防门锁短接；18.防终端越程保护；19.故障历史记录；20.故障显示；21.故障重开门；22.关门按钮提前关门；23.换站停靠；24.火灾应急返回；25.轿厢意外移动保护；26.集选控制；27.检修操作；28.井道层楼数据自学习；29.开门按钮开门；30.开锁区域外不能开门保护；31.楼层滚动显示；32.满载直驶；33.门受阻保护；34.内部通话装置/对讲系统；35.逆向运行保护；36.起动补偿；37.欠相保护；38.欠压保护；39.停电照明功能；40.误指令消除；41.闲时节电；42.消防信号反馈；43.永磁同步变频门机；44.运行超时保护；45.运行次数计数器；46.再平层/微动平层（提升高度＞60米）；47.驻停/退出运行；48.自动门；49.层门厅门旁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5" w:hRule="atLeast"/>
        </w:trPr>
        <w:tc>
          <w:tcPr>
            <w:tcW w:w="944" w:type="dxa"/>
            <w:vAlign w:val="center"/>
          </w:tcPr>
          <w:p>
            <w:pPr>
              <w:jc w:val="center"/>
            </w:pPr>
            <w:r>
              <w:rPr>
                <w:rFonts w:hint="eastAsia"/>
              </w:rPr>
              <w:t>选配功能</w:t>
            </w:r>
          </w:p>
        </w:tc>
        <w:tc>
          <w:tcPr>
            <w:tcW w:w="8945" w:type="dxa"/>
            <w:gridSpan w:val="2"/>
            <w:vAlign w:val="center"/>
          </w:tcPr>
          <w:p>
            <w:pPr>
              <w:spacing w:line="240" w:lineRule="exact"/>
              <w:rPr>
                <w:sz w:val="18"/>
                <w:szCs w:val="18"/>
              </w:rPr>
            </w:pPr>
            <w:r>
              <w:rPr>
                <w:rFonts w:hint="eastAsia"/>
                <w:sz w:val="18"/>
                <w:szCs w:val="18"/>
              </w:rPr>
              <w:t>1.地板选用2.0</w:t>
            </w:r>
            <w:r>
              <w:rPr>
                <w:sz w:val="18"/>
                <w:szCs w:val="18"/>
              </w:rPr>
              <w:t>mm</w:t>
            </w:r>
            <w:r>
              <w:rPr>
                <w:rFonts w:hint="eastAsia"/>
                <w:sz w:val="18"/>
                <w:szCs w:val="18"/>
              </w:rPr>
              <w:t>厚麻花304不绣钢板；2门保护：触板加光幕；3语音报站功能；4消防功能 ；5司机操控功能。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7" w:hRule="atLeast"/>
        </w:trPr>
        <w:tc>
          <w:tcPr>
            <w:tcW w:w="944" w:type="dxa"/>
            <w:vAlign w:val="center"/>
          </w:tcPr>
          <w:p>
            <w:pPr>
              <w:jc w:val="center"/>
            </w:pPr>
            <w:r>
              <w:rPr>
                <w:rFonts w:hint="eastAsia"/>
              </w:rPr>
              <w:t>其余约定</w:t>
            </w:r>
          </w:p>
        </w:tc>
        <w:tc>
          <w:tcPr>
            <w:tcW w:w="8945" w:type="dxa"/>
            <w:gridSpan w:val="2"/>
            <w:vAlign w:val="center"/>
          </w:tcPr>
          <w:p/>
        </w:tc>
      </w:tr>
    </w:tbl>
    <w:p>
      <w:pPr>
        <w:rPr>
          <w:b/>
          <w:sz w:val="21"/>
          <w:szCs w:val="21"/>
          <w:lang w:val="zh-CN"/>
        </w:rPr>
      </w:pPr>
      <w:r>
        <w:rPr>
          <w:b/>
          <w:sz w:val="21"/>
          <w:szCs w:val="21"/>
          <w:lang w:val="zh-CN"/>
        </w:rPr>
        <w:t>注：以上参数为参考值。</w:t>
      </w:r>
    </w:p>
    <w:p>
      <w:pPr>
        <w:spacing w:line="360" w:lineRule="auto"/>
        <w:rPr>
          <w:b/>
          <w:sz w:val="21"/>
          <w:szCs w:val="21"/>
        </w:rPr>
      </w:pPr>
      <w:r>
        <w:rPr>
          <w:rFonts w:hint="eastAsia" w:hAnsi="宋体"/>
          <w:b/>
          <w:sz w:val="21"/>
          <w:szCs w:val="21"/>
        </w:rPr>
        <w:t>②</w:t>
      </w:r>
      <w:r>
        <w:rPr>
          <w:rFonts w:hint="eastAsia"/>
          <w:b/>
          <w:sz w:val="21"/>
          <w:szCs w:val="21"/>
        </w:rPr>
        <w:t>项目要求</w:t>
      </w:r>
    </w:p>
    <w:p>
      <w:pPr>
        <w:tabs>
          <w:tab w:val="left" w:pos="627"/>
        </w:tabs>
        <w:rPr>
          <w:sz w:val="21"/>
          <w:szCs w:val="21"/>
        </w:rPr>
      </w:pPr>
      <w:r>
        <w:rPr>
          <w:rFonts w:hint="eastAsia"/>
          <w:sz w:val="21"/>
          <w:szCs w:val="21"/>
        </w:rPr>
        <w:t>1、中标人严格遵守文明生产安全条例，严格把关文明生产安全质量。</w:t>
      </w:r>
    </w:p>
    <w:p>
      <w:pPr>
        <w:rPr>
          <w:sz w:val="21"/>
          <w:szCs w:val="21"/>
        </w:rPr>
      </w:pPr>
      <w:r>
        <w:rPr>
          <w:rFonts w:hint="eastAsia"/>
          <w:sz w:val="21"/>
          <w:szCs w:val="21"/>
        </w:rPr>
        <w:t>2、本项目为总价包干，包括但不限于一切与本项目有关的设备及材料的维修、安装、拆卸费(如搭棚费、吊装费、围闭措施费等)、人工费、税费、保险费、仓储费、运输搬运装卸费、调试检测费等所有费用，保证工程改造后使用科室能投入正常使用，错报漏报的内容，均已包含在合同总价内，中标方不得以任何的形式向采购方索要追加任何的费用，采购方也没有义务支付任何合同总价外的费用。</w:t>
      </w:r>
    </w:p>
    <w:p>
      <w:pPr>
        <w:rPr>
          <w:rFonts w:asciiTheme="minorEastAsia" w:hAnsiTheme="minorEastAsia"/>
          <w:sz w:val="21"/>
          <w:szCs w:val="21"/>
        </w:rPr>
      </w:pPr>
      <w:r>
        <w:rPr>
          <w:rFonts w:asciiTheme="minorEastAsia" w:hAnsiTheme="minorEastAsia"/>
          <w:sz w:val="21"/>
          <w:szCs w:val="21"/>
        </w:rPr>
        <w:t>3、采购人不提供临时及材料加工场，临时设施及材料加工由中标人在施工现场以外解决，其费用由中标人自理；</w:t>
      </w:r>
    </w:p>
    <w:p>
      <w:pPr>
        <w:rPr>
          <w:rFonts w:asciiTheme="minorEastAsia" w:hAnsiTheme="minorEastAsia"/>
          <w:sz w:val="28"/>
          <w:szCs w:val="28"/>
        </w:rPr>
      </w:pPr>
      <w:r>
        <w:rPr>
          <w:rFonts w:asciiTheme="minorEastAsia" w:hAnsiTheme="minorEastAsia"/>
          <w:sz w:val="21"/>
          <w:szCs w:val="21"/>
        </w:rPr>
        <w:t>4、工程完工后及时拆除临时设施，清运垃圾，做好相关工序工作，并积极配合采购人组织验收，做好验收记录，做到工完场清。</w:t>
      </w:r>
    </w:p>
    <w:p>
      <w:pPr>
        <w:spacing w:line="360" w:lineRule="auto"/>
        <w:rPr>
          <w:sz w:val="21"/>
          <w:szCs w:val="21"/>
        </w:rPr>
      </w:pPr>
      <w:r>
        <w:rPr>
          <w:rFonts w:hint="eastAsia"/>
          <w:sz w:val="21"/>
          <w:szCs w:val="21"/>
        </w:rPr>
        <w:t>5、</w:t>
      </w:r>
      <w:r>
        <w:rPr>
          <w:sz w:val="21"/>
          <w:szCs w:val="21"/>
        </w:rPr>
        <w:t>投标产</w:t>
      </w:r>
      <w:r>
        <w:rPr>
          <w:rFonts w:hint="eastAsia"/>
          <w:sz w:val="21"/>
          <w:szCs w:val="21"/>
        </w:rPr>
        <w:t>品</w:t>
      </w:r>
      <w:r>
        <w:rPr>
          <w:sz w:val="21"/>
          <w:szCs w:val="21"/>
        </w:rPr>
        <w:t>生产制造商须具有《</w:t>
      </w:r>
      <w:r>
        <w:rPr>
          <w:rFonts w:hint="eastAsia"/>
          <w:sz w:val="21"/>
          <w:szCs w:val="21"/>
        </w:rPr>
        <w:t>中</w:t>
      </w:r>
      <w:r>
        <w:rPr>
          <w:sz w:val="21"/>
          <w:szCs w:val="21"/>
        </w:rPr>
        <w:t>华人民共和国特种设备制造许可证》</w:t>
      </w:r>
      <w:r>
        <w:rPr>
          <w:rFonts w:hint="eastAsia"/>
          <w:sz w:val="21"/>
          <w:szCs w:val="21"/>
        </w:rPr>
        <w:t>。</w:t>
      </w:r>
    </w:p>
    <w:p>
      <w:pPr>
        <w:spacing w:line="360" w:lineRule="auto"/>
        <w:rPr>
          <w:sz w:val="21"/>
          <w:szCs w:val="21"/>
        </w:rPr>
      </w:pPr>
      <w:r>
        <w:rPr>
          <w:rFonts w:hint="eastAsia"/>
          <w:sz w:val="21"/>
          <w:szCs w:val="21"/>
        </w:rPr>
        <w:t>6、要</w:t>
      </w:r>
      <w:r>
        <w:rPr>
          <w:sz w:val="21"/>
          <w:szCs w:val="21"/>
        </w:rPr>
        <w:t>求提</w:t>
      </w:r>
      <w:r>
        <w:rPr>
          <w:rFonts w:hint="eastAsia"/>
          <w:sz w:val="21"/>
          <w:szCs w:val="21"/>
        </w:rPr>
        <w:t>供承诺函，承诺所投电</w:t>
      </w:r>
      <w:r>
        <w:rPr>
          <w:sz w:val="21"/>
          <w:szCs w:val="21"/>
        </w:rPr>
        <w:t>梯产品主要部件须为原厂</w:t>
      </w:r>
      <w:r>
        <w:rPr>
          <w:rFonts w:hint="eastAsia"/>
          <w:sz w:val="21"/>
          <w:szCs w:val="21"/>
        </w:rPr>
        <w:t>生</w:t>
      </w:r>
      <w:r>
        <w:rPr>
          <w:sz w:val="21"/>
          <w:szCs w:val="21"/>
        </w:rPr>
        <w:t>产原品牌：</w:t>
      </w:r>
      <w:r>
        <w:rPr>
          <w:rFonts w:hint="eastAsia"/>
          <w:sz w:val="21"/>
          <w:szCs w:val="21"/>
        </w:rPr>
        <w:t>主</w:t>
      </w:r>
      <w:r>
        <w:rPr>
          <w:sz w:val="21"/>
          <w:szCs w:val="21"/>
        </w:rPr>
        <w:t>机</w:t>
      </w:r>
      <w:r>
        <w:rPr>
          <w:rFonts w:hint="eastAsia"/>
          <w:sz w:val="21"/>
          <w:szCs w:val="21"/>
        </w:rPr>
        <w:t>、门</w:t>
      </w:r>
      <w:r>
        <w:rPr>
          <w:sz w:val="21"/>
          <w:szCs w:val="21"/>
        </w:rPr>
        <w:t>机</w:t>
      </w:r>
      <w:r>
        <w:rPr>
          <w:rFonts w:hint="eastAsia"/>
          <w:sz w:val="21"/>
          <w:szCs w:val="21"/>
        </w:rPr>
        <w:t>、控</w:t>
      </w:r>
      <w:r>
        <w:rPr>
          <w:sz w:val="21"/>
          <w:szCs w:val="21"/>
        </w:rPr>
        <w:t>制</w:t>
      </w:r>
      <w:r>
        <w:rPr>
          <w:rFonts w:hint="eastAsia"/>
          <w:sz w:val="21"/>
          <w:szCs w:val="21"/>
        </w:rPr>
        <w:t>柜、安</w:t>
      </w:r>
      <w:r>
        <w:rPr>
          <w:sz w:val="21"/>
          <w:szCs w:val="21"/>
        </w:rPr>
        <w:t>全钳、限速器、</w:t>
      </w:r>
      <w:r>
        <w:rPr>
          <w:rFonts w:hint="eastAsia"/>
          <w:sz w:val="21"/>
          <w:szCs w:val="21"/>
        </w:rPr>
        <w:t>缓冲器、轿厢意外移动保护装置、轿厢上行超速保护装置（制动减速装置）、层门闭锁装置需</w:t>
      </w:r>
      <w:r>
        <w:rPr>
          <w:sz w:val="21"/>
          <w:szCs w:val="21"/>
        </w:rPr>
        <w:t>提供相应的型</w:t>
      </w:r>
      <w:r>
        <w:rPr>
          <w:rFonts w:hint="eastAsia"/>
          <w:sz w:val="21"/>
          <w:szCs w:val="21"/>
        </w:rPr>
        <w:t>式</w:t>
      </w:r>
      <w:r>
        <w:rPr>
          <w:sz w:val="21"/>
          <w:szCs w:val="21"/>
        </w:rPr>
        <w:t>试验报告</w:t>
      </w:r>
      <w:r>
        <w:rPr>
          <w:rFonts w:hint="eastAsia"/>
          <w:sz w:val="21"/>
          <w:szCs w:val="21"/>
        </w:rPr>
        <w:t>或</w:t>
      </w:r>
      <w:r>
        <w:rPr>
          <w:sz w:val="21"/>
          <w:szCs w:val="21"/>
        </w:rPr>
        <w:t>检</w:t>
      </w:r>
      <w:r>
        <w:rPr>
          <w:rFonts w:hint="eastAsia"/>
          <w:sz w:val="21"/>
          <w:szCs w:val="21"/>
        </w:rPr>
        <w:t>测</w:t>
      </w:r>
      <w:r>
        <w:rPr>
          <w:sz w:val="21"/>
          <w:szCs w:val="21"/>
        </w:rPr>
        <w:t>报告</w:t>
      </w:r>
      <w:r>
        <w:rPr>
          <w:rFonts w:hint="eastAsia"/>
          <w:sz w:val="21"/>
          <w:szCs w:val="21"/>
        </w:rPr>
        <w:t>；</w:t>
      </w:r>
      <w:r>
        <w:rPr>
          <w:sz w:val="21"/>
          <w:szCs w:val="21"/>
        </w:rPr>
        <w:t>且提供</w:t>
      </w:r>
      <w:r>
        <w:rPr>
          <w:rFonts w:hint="eastAsia"/>
          <w:sz w:val="21"/>
          <w:szCs w:val="21"/>
        </w:rPr>
        <w:t>电</w:t>
      </w:r>
      <w:r>
        <w:rPr>
          <w:sz w:val="21"/>
          <w:szCs w:val="21"/>
        </w:rPr>
        <w:t>梯</w:t>
      </w:r>
      <w:r>
        <w:rPr>
          <w:rFonts w:hint="eastAsia"/>
          <w:sz w:val="21"/>
          <w:szCs w:val="21"/>
        </w:rPr>
        <w:t>产</w:t>
      </w:r>
      <w:r>
        <w:rPr>
          <w:sz w:val="21"/>
          <w:szCs w:val="21"/>
        </w:rPr>
        <w:t>品的主要部件清单明细。</w:t>
      </w:r>
    </w:p>
    <w:p>
      <w:pPr>
        <w:spacing w:line="360" w:lineRule="auto"/>
        <w:rPr>
          <w:b/>
          <w:sz w:val="21"/>
          <w:szCs w:val="21"/>
        </w:rPr>
      </w:pPr>
      <w:r>
        <w:rPr>
          <w:rFonts w:hint="eastAsia"/>
          <w:b/>
          <w:sz w:val="21"/>
          <w:szCs w:val="21"/>
        </w:rPr>
        <w:t>五、设备质量标准、包装、交货、安装调试：</w:t>
      </w:r>
    </w:p>
    <w:p>
      <w:pPr>
        <w:spacing w:line="360" w:lineRule="auto"/>
        <w:rPr>
          <w:sz w:val="21"/>
          <w:szCs w:val="21"/>
        </w:rPr>
      </w:pPr>
      <w:r>
        <w:rPr>
          <w:rFonts w:hint="eastAsia"/>
          <w:sz w:val="21"/>
          <w:szCs w:val="21"/>
        </w:rPr>
        <w:t>1、质量标准：成交人应保证合同设备是全新、未曾使用过的，其质量、规格及技术特征符合国家标准、规范及招标文件的要求。</w:t>
      </w:r>
    </w:p>
    <w:p>
      <w:pPr>
        <w:spacing w:line="360" w:lineRule="auto"/>
        <w:rPr>
          <w:sz w:val="21"/>
          <w:szCs w:val="21"/>
        </w:rPr>
      </w:pPr>
      <w:r>
        <w:rPr>
          <w:rFonts w:hint="eastAsia"/>
          <w:sz w:val="21"/>
          <w:szCs w:val="21"/>
        </w:rPr>
        <w:t>2、包装：设备包装均应有良好的防湿、防锈、防潮、防雨、防腐及防碰撞的措施。凡由于包装不良造成的损失和由此产生的费用均由成交人承担。</w:t>
      </w:r>
    </w:p>
    <w:p>
      <w:pPr>
        <w:spacing w:line="360" w:lineRule="auto"/>
        <w:rPr>
          <w:sz w:val="21"/>
          <w:szCs w:val="21"/>
        </w:rPr>
      </w:pPr>
      <w:r>
        <w:rPr>
          <w:rFonts w:hint="eastAsia"/>
          <w:sz w:val="21"/>
          <w:szCs w:val="21"/>
        </w:rPr>
        <w:t>3、交货地点：湛江市中心人民医院。</w:t>
      </w:r>
    </w:p>
    <w:p>
      <w:pPr>
        <w:spacing w:line="360" w:lineRule="auto"/>
        <w:rPr>
          <w:sz w:val="21"/>
          <w:szCs w:val="21"/>
        </w:rPr>
      </w:pPr>
      <w:r>
        <w:rPr>
          <w:rFonts w:hint="eastAsia"/>
          <w:sz w:val="21"/>
          <w:szCs w:val="21"/>
        </w:rPr>
        <w:t>4、交货时间：合同签订之日起60天内交货及安装完毕并通过政府验收（采购人原因除外）。</w:t>
      </w:r>
    </w:p>
    <w:p>
      <w:pPr>
        <w:spacing w:line="360" w:lineRule="auto"/>
        <w:rPr>
          <w:sz w:val="21"/>
          <w:szCs w:val="21"/>
        </w:rPr>
      </w:pPr>
      <w:r>
        <w:rPr>
          <w:rFonts w:hint="eastAsia"/>
          <w:sz w:val="21"/>
          <w:szCs w:val="21"/>
        </w:rPr>
        <w:t>5、成交设备的安装调试：</w:t>
      </w:r>
    </w:p>
    <w:p>
      <w:pPr>
        <w:spacing w:line="360" w:lineRule="auto"/>
        <w:rPr>
          <w:sz w:val="21"/>
          <w:szCs w:val="21"/>
        </w:rPr>
      </w:pPr>
      <w:r>
        <w:rPr>
          <w:rFonts w:hint="eastAsia"/>
          <w:sz w:val="21"/>
          <w:szCs w:val="21"/>
        </w:rPr>
        <w:t>1）成交人负责合同项目设备的安装调试，一切费用由成交人负责。</w:t>
      </w:r>
    </w:p>
    <w:p>
      <w:pPr>
        <w:spacing w:line="360" w:lineRule="auto"/>
        <w:rPr>
          <w:sz w:val="21"/>
          <w:szCs w:val="21"/>
        </w:rPr>
      </w:pPr>
      <w:r>
        <w:rPr>
          <w:rFonts w:hint="eastAsia"/>
          <w:sz w:val="21"/>
          <w:szCs w:val="21"/>
        </w:rPr>
        <w:t>2）成交人安装时必须对各安装场地内的其它设备、设施有良好保护措施。</w:t>
      </w:r>
    </w:p>
    <w:p>
      <w:pPr>
        <w:spacing w:line="360" w:lineRule="auto"/>
        <w:rPr>
          <w:b/>
          <w:sz w:val="21"/>
          <w:szCs w:val="21"/>
        </w:rPr>
      </w:pPr>
      <w:r>
        <w:rPr>
          <w:rFonts w:hint="eastAsia"/>
          <w:b/>
          <w:sz w:val="21"/>
          <w:szCs w:val="21"/>
        </w:rPr>
        <w:t>六、售后服务</w:t>
      </w:r>
    </w:p>
    <w:p>
      <w:pPr>
        <w:spacing w:line="360" w:lineRule="auto"/>
        <w:rPr>
          <w:sz w:val="21"/>
          <w:szCs w:val="21"/>
        </w:rPr>
      </w:pPr>
      <w:r>
        <w:rPr>
          <w:rFonts w:hint="eastAsia"/>
          <w:sz w:val="21"/>
          <w:szCs w:val="21"/>
        </w:rPr>
        <w:t>1、产品质量保证期壹年（若国家和/或生产厂家对项目所涉及货物的质量保证期的规定高于本项目的要求，应按国家和/或生产厂家的规定执行，具体由供应商在投标响应文件中承诺）。成交人在保修期内（供货验收合格之日计起1年内）首年免费负责上门服务、第二年起收取维护人工费，产品终身维修，终身有偿配件供应。对采购人的服务通知，成交人在接报后半小时内响应并到达现场，6小时内处理完毕。</w:t>
      </w:r>
    </w:p>
    <w:p>
      <w:pPr>
        <w:spacing w:line="360" w:lineRule="auto"/>
        <w:rPr>
          <w:sz w:val="21"/>
          <w:szCs w:val="21"/>
        </w:rPr>
      </w:pPr>
      <w:r>
        <w:rPr>
          <w:rFonts w:hint="eastAsia"/>
          <w:sz w:val="21"/>
          <w:szCs w:val="21"/>
        </w:rPr>
        <w:t>2、成交人须承</w:t>
      </w:r>
      <w:r>
        <w:rPr>
          <w:sz w:val="21"/>
          <w:szCs w:val="21"/>
        </w:rPr>
        <w:t>诺在合同签订后3</w:t>
      </w:r>
      <w:r>
        <w:rPr>
          <w:rFonts w:hint="eastAsia"/>
          <w:sz w:val="21"/>
          <w:szCs w:val="21"/>
        </w:rPr>
        <w:t>天</w:t>
      </w:r>
      <w:r>
        <w:rPr>
          <w:sz w:val="21"/>
          <w:szCs w:val="21"/>
        </w:rPr>
        <w:t>内</w:t>
      </w:r>
      <w:r>
        <w:rPr>
          <w:rFonts w:hint="eastAsia"/>
          <w:sz w:val="21"/>
          <w:szCs w:val="21"/>
        </w:rPr>
        <w:t>在项目所在地设立长驻服务</w:t>
      </w:r>
      <w:r>
        <w:rPr>
          <w:sz w:val="21"/>
          <w:szCs w:val="21"/>
        </w:rPr>
        <w:t>点</w:t>
      </w:r>
      <w:r>
        <w:rPr>
          <w:rFonts w:hint="eastAsia"/>
          <w:sz w:val="21"/>
          <w:szCs w:val="21"/>
        </w:rPr>
        <w:t>（长驻人员为成交人公司人员（不能委托其他公司人员）并</w:t>
      </w:r>
      <w:r>
        <w:rPr>
          <w:sz w:val="21"/>
          <w:szCs w:val="21"/>
        </w:rPr>
        <w:t>提供</w:t>
      </w:r>
      <w:r>
        <w:rPr>
          <w:rFonts w:hint="eastAsia"/>
          <w:sz w:val="21"/>
          <w:szCs w:val="21"/>
        </w:rPr>
        <w:t>社保</w:t>
      </w:r>
      <w:r>
        <w:rPr>
          <w:sz w:val="21"/>
          <w:szCs w:val="21"/>
        </w:rPr>
        <w:t>证明</w:t>
      </w:r>
      <w:r>
        <w:rPr>
          <w:rFonts w:hint="eastAsia"/>
          <w:sz w:val="21"/>
          <w:szCs w:val="21"/>
        </w:rPr>
        <w:t>等</w:t>
      </w:r>
      <w:r>
        <w:rPr>
          <w:sz w:val="21"/>
          <w:szCs w:val="21"/>
        </w:rPr>
        <w:t>）</w:t>
      </w:r>
      <w:r>
        <w:rPr>
          <w:rFonts w:hint="eastAsia"/>
          <w:sz w:val="21"/>
          <w:szCs w:val="21"/>
        </w:rPr>
        <w:t>，将证明材料提交采购人备案，作为本项目的常驻服务机构处理所有维修及安装前期服务，并配有专职的技术工程师。否则采购人有权终止合同及追究其责任。</w:t>
      </w:r>
    </w:p>
    <w:p>
      <w:pPr>
        <w:spacing w:line="360" w:lineRule="auto"/>
        <w:rPr>
          <w:sz w:val="21"/>
          <w:szCs w:val="21"/>
        </w:rPr>
      </w:pPr>
      <w:bookmarkStart w:id="0" w:name="_Hlk2065610"/>
      <w:r>
        <w:rPr>
          <w:rFonts w:hint="eastAsia"/>
          <w:sz w:val="21"/>
          <w:szCs w:val="21"/>
        </w:rPr>
        <w:t>3、</w:t>
      </w:r>
      <w:bookmarkEnd w:id="0"/>
      <w:r>
        <w:rPr>
          <w:rFonts w:hint="eastAsia"/>
          <w:sz w:val="21"/>
          <w:szCs w:val="21"/>
        </w:rPr>
        <w:t>质量保证期内发生的质量问题，由成交人负责免费解决（因采购人使用不当或其他人为因素造成的故障除外）；保证长期良好的售后服务和零配件供应。</w:t>
      </w:r>
    </w:p>
    <w:p>
      <w:pPr>
        <w:spacing w:line="360" w:lineRule="auto"/>
        <w:rPr>
          <w:sz w:val="21"/>
          <w:szCs w:val="21"/>
        </w:rPr>
      </w:pPr>
      <w:r>
        <w:rPr>
          <w:rFonts w:hint="eastAsia"/>
          <w:sz w:val="21"/>
          <w:szCs w:val="21"/>
        </w:rPr>
        <w:t>4、任何时候，成交人均不能免除因设备本身的缺陷所应负的责任，成交人有义务对所提供的货物实行终生维护和对设备进行定期的检测和维修。</w:t>
      </w:r>
      <w:bookmarkStart w:id="1" w:name="_Hlk531645369"/>
    </w:p>
    <w:bookmarkEnd w:id="1"/>
    <w:p>
      <w:pPr>
        <w:spacing w:line="360" w:lineRule="auto"/>
        <w:rPr>
          <w:b/>
          <w:sz w:val="21"/>
          <w:szCs w:val="21"/>
        </w:rPr>
      </w:pPr>
      <w:r>
        <w:rPr>
          <w:rFonts w:hint="eastAsia"/>
          <w:b/>
          <w:sz w:val="21"/>
          <w:szCs w:val="21"/>
        </w:rPr>
        <w:t>七、验收要求</w:t>
      </w:r>
    </w:p>
    <w:p>
      <w:pPr>
        <w:spacing w:line="360" w:lineRule="auto"/>
        <w:rPr>
          <w:sz w:val="21"/>
          <w:szCs w:val="21"/>
        </w:rPr>
      </w:pPr>
      <w:r>
        <w:rPr>
          <w:rFonts w:hint="eastAsia"/>
          <w:sz w:val="21"/>
          <w:szCs w:val="21"/>
        </w:rPr>
        <w:t>1、货物为原制造商制造的全新产品，无污染，无侵权行为、表面无划损、无任何缺陷隐患，在中国境内可依常规安全合法使用。</w:t>
      </w:r>
    </w:p>
    <w:p>
      <w:pPr>
        <w:spacing w:line="360" w:lineRule="auto"/>
        <w:rPr>
          <w:sz w:val="21"/>
          <w:szCs w:val="21"/>
        </w:rPr>
      </w:pPr>
      <w:r>
        <w:rPr>
          <w:rFonts w:hint="eastAsia"/>
          <w:sz w:val="21"/>
          <w:szCs w:val="21"/>
        </w:rPr>
        <w:t>2、国内制造的产品必须具备出厂合格证。</w:t>
      </w:r>
    </w:p>
    <w:p>
      <w:pPr>
        <w:spacing w:line="360" w:lineRule="auto"/>
        <w:rPr>
          <w:sz w:val="21"/>
          <w:szCs w:val="21"/>
        </w:rPr>
      </w:pPr>
      <w:r>
        <w:rPr>
          <w:rFonts w:hint="eastAsia"/>
          <w:sz w:val="21"/>
          <w:szCs w:val="21"/>
        </w:rPr>
        <w:t>3、成交人应将关键主机设备的用户手册、保修手册、有关单位资料及配备件、随机工具等交付给采购人，使用操作及安全须知等重要资料应附有中文说明。</w:t>
      </w:r>
    </w:p>
    <w:p>
      <w:pPr>
        <w:spacing w:line="360" w:lineRule="auto"/>
        <w:rPr>
          <w:sz w:val="21"/>
          <w:szCs w:val="21"/>
        </w:rPr>
      </w:pPr>
      <w:r>
        <w:rPr>
          <w:rFonts w:hint="eastAsia"/>
          <w:sz w:val="21"/>
          <w:szCs w:val="21"/>
        </w:rPr>
        <w:t>4、采购人按成交人提供的供货清单检验产品合格证、使用说明书和其它的技术资料、检查产品及附件是否完整无损，技术资料与图纸是否与采购人的要求相符。如有不符、损坏、缺件等情况，成交人自行负责。</w:t>
      </w:r>
    </w:p>
    <w:p>
      <w:pPr>
        <w:spacing w:line="360" w:lineRule="auto"/>
        <w:rPr>
          <w:sz w:val="21"/>
          <w:szCs w:val="21"/>
        </w:rPr>
      </w:pPr>
      <w:r>
        <w:rPr>
          <w:rFonts w:hint="eastAsia"/>
          <w:sz w:val="21"/>
          <w:szCs w:val="21"/>
        </w:rPr>
        <w:t>5、成交人提供的货物（零部件、材质、配置功能等）必须符合招标文件的要求且与投标文件响应一致，否则采购人有权终止合同及追究其责任。</w:t>
      </w:r>
    </w:p>
    <w:p>
      <w:pPr>
        <w:spacing w:line="360" w:lineRule="auto"/>
        <w:rPr>
          <w:sz w:val="21"/>
          <w:szCs w:val="21"/>
        </w:rPr>
      </w:pPr>
      <w:r>
        <w:rPr>
          <w:rFonts w:hint="eastAsia"/>
          <w:sz w:val="21"/>
          <w:szCs w:val="21"/>
        </w:rPr>
        <w:t>6、其它验收细则以成交人的投标文件中提供的设备技术资料及双方签订的合同条款为准。</w:t>
      </w:r>
    </w:p>
    <w:p>
      <w:pPr>
        <w:spacing w:line="360" w:lineRule="auto"/>
        <w:rPr>
          <w:b/>
          <w:sz w:val="21"/>
          <w:szCs w:val="21"/>
        </w:rPr>
      </w:pPr>
      <w:r>
        <w:rPr>
          <w:rFonts w:hint="eastAsia"/>
          <w:b/>
          <w:sz w:val="21"/>
          <w:szCs w:val="21"/>
        </w:rPr>
        <w:t>八、付款方式及付款条件</w:t>
      </w:r>
    </w:p>
    <w:p>
      <w:pPr>
        <w:spacing w:line="360" w:lineRule="auto"/>
        <w:rPr>
          <w:sz w:val="21"/>
          <w:szCs w:val="21"/>
        </w:rPr>
      </w:pPr>
      <w:r>
        <w:rPr>
          <w:rFonts w:hint="eastAsia"/>
          <w:sz w:val="21"/>
          <w:szCs w:val="21"/>
        </w:rPr>
        <w:t>1、付款方式：采购人以转账方式支付合同价款。采购人付款时</w:t>
      </w:r>
      <w:r>
        <w:rPr>
          <w:sz w:val="21"/>
          <w:szCs w:val="21"/>
        </w:rPr>
        <w:t>,</w:t>
      </w:r>
      <w:r>
        <w:rPr>
          <w:rFonts w:hint="eastAsia"/>
          <w:sz w:val="21"/>
          <w:szCs w:val="21"/>
        </w:rPr>
        <w:t>注明付款单位、用途、银行帐号及合同编号并立即将付款凭证传真给成交人的合同经办人。采购人在付款前要求开发票时，实际付款金额以付款凭据为准。</w:t>
      </w:r>
    </w:p>
    <w:p>
      <w:pPr>
        <w:spacing w:line="360" w:lineRule="auto"/>
        <w:rPr>
          <w:sz w:val="21"/>
          <w:szCs w:val="21"/>
        </w:rPr>
      </w:pPr>
      <w:r>
        <w:rPr>
          <w:rFonts w:hint="eastAsia"/>
          <w:sz w:val="21"/>
          <w:szCs w:val="21"/>
        </w:rPr>
        <w:t>2、付款条件</w:t>
      </w:r>
    </w:p>
    <w:p>
      <w:pPr>
        <w:rPr>
          <w:rFonts w:asciiTheme="minorEastAsia" w:hAnsiTheme="minorEastAsia"/>
          <w:sz w:val="21"/>
          <w:szCs w:val="21"/>
        </w:rPr>
      </w:pPr>
      <w:r>
        <w:rPr>
          <w:rFonts w:hint="eastAsia" w:asciiTheme="minorEastAsia" w:hAnsiTheme="minorEastAsia"/>
          <w:sz w:val="21"/>
          <w:szCs w:val="21"/>
        </w:rPr>
        <w:t>2.1、</w:t>
      </w:r>
      <w:r>
        <w:rPr>
          <w:rFonts w:hint="eastAsia"/>
          <w:sz w:val="21"/>
          <w:szCs w:val="21"/>
          <w:highlight w:val="yellow"/>
          <w:lang w:eastAsia="zh-CN"/>
        </w:rPr>
        <w:t>项目</w:t>
      </w:r>
      <w:r>
        <w:rPr>
          <w:rFonts w:hint="eastAsia"/>
          <w:sz w:val="21"/>
          <w:szCs w:val="21"/>
        </w:rPr>
        <w:t>标预算价不得高于</w:t>
      </w:r>
      <w:r>
        <w:rPr>
          <w:rFonts w:hint="eastAsia" w:asciiTheme="minorEastAsia" w:hAnsiTheme="minorEastAsia"/>
          <w:b/>
          <w:sz w:val="21"/>
          <w:szCs w:val="21"/>
        </w:rPr>
        <w:t>415010.20</w:t>
      </w:r>
      <w:r>
        <w:rPr>
          <w:rFonts w:hint="eastAsia"/>
          <w:sz w:val="21"/>
          <w:szCs w:val="21"/>
        </w:rPr>
        <w:t>元。</w:t>
      </w:r>
    </w:p>
    <w:p>
      <w:pPr>
        <w:rPr>
          <w:rFonts w:asciiTheme="minorEastAsia" w:hAnsiTheme="minorEastAsia"/>
          <w:sz w:val="21"/>
          <w:szCs w:val="21"/>
        </w:rPr>
      </w:pPr>
      <w:r>
        <w:rPr>
          <w:rFonts w:hint="eastAsia"/>
          <w:sz w:val="21"/>
          <w:szCs w:val="21"/>
        </w:rPr>
        <w:t>2.2</w:t>
      </w:r>
      <w:r>
        <w:rPr>
          <w:rFonts w:hint="eastAsia" w:asciiTheme="minorEastAsia" w:hAnsiTheme="minorEastAsia"/>
          <w:sz w:val="21"/>
          <w:szCs w:val="21"/>
          <w:lang w:eastAsia="zh-CN"/>
        </w:rPr>
        <w:t>项目</w:t>
      </w:r>
      <w:r>
        <w:rPr>
          <w:rFonts w:asciiTheme="minorEastAsia" w:hAnsiTheme="minorEastAsia"/>
          <w:sz w:val="21"/>
          <w:szCs w:val="21"/>
        </w:rPr>
        <w:t>验收合格后，中标人凭据开具的正规发票、合同以及验收报告向采购人申请支付合同总价款的97%；剩下3%作为质保金，采购人在工程质保期满后</w:t>
      </w:r>
      <w:r>
        <w:rPr>
          <w:rFonts w:hint="eastAsia" w:asciiTheme="minorEastAsia" w:hAnsiTheme="minorEastAsia"/>
          <w:sz w:val="21"/>
          <w:szCs w:val="21"/>
          <w:lang w:val="en-US" w:eastAsia="zh-CN"/>
        </w:rPr>
        <w:t>60</w:t>
      </w:r>
      <w:r>
        <w:rPr>
          <w:rFonts w:asciiTheme="minorEastAsia" w:hAnsiTheme="minorEastAsia"/>
          <w:sz w:val="21"/>
          <w:szCs w:val="21"/>
        </w:rPr>
        <w:t>天内，向中标人(无息)支付。</w:t>
      </w:r>
    </w:p>
    <w:p>
      <w:pPr>
        <w:spacing w:line="360" w:lineRule="auto"/>
        <w:rPr>
          <w:sz w:val="21"/>
          <w:szCs w:val="21"/>
        </w:rPr>
      </w:pPr>
      <w:r>
        <w:rPr>
          <w:rFonts w:hint="eastAsia"/>
          <w:sz w:val="21"/>
          <w:szCs w:val="21"/>
        </w:rPr>
        <w:t>2.3采购人付清合同款项时，本合同项下标的物的所有权转移至采购人。</w:t>
      </w:r>
    </w:p>
    <w:p>
      <w:pPr>
        <w:rPr>
          <w:sz w:val="21"/>
          <w:szCs w:val="21"/>
        </w:rPr>
      </w:pPr>
    </w:p>
    <w:p>
      <w:pPr>
        <w:spacing w:line="360" w:lineRule="auto"/>
        <w:rPr>
          <w:sz w:val="21"/>
          <w:szCs w:val="21"/>
        </w:rPr>
      </w:pPr>
      <w:r>
        <w:rPr>
          <w:rFonts w:hint="eastAsia"/>
          <w:sz w:val="21"/>
          <w:szCs w:val="21"/>
        </w:rPr>
        <w:t>注：1、本需求书中所列品牌、规格、型号、重量、尺寸（“★”条款除外）等（如有），只作为投标人投标的参考，并无指定。投标人可根据设备的实际情况，选用技术参数优于或等于的产品进行报价，并如实列明所投产品的详细技术参数、品牌、型号及产地等。</w:t>
      </w:r>
    </w:p>
    <w:p>
      <w:pPr>
        <w:spacing w:line="360" w:lineRule="auto"/>
        <w:ind w:firstLine="432"/>
      </w:pPr>
      <w:r>
        <w:rPr>
          <w:rFonts w:hint="eastAsia"/>
          <w:sz w:val="21"/>
          <w:szCs w:val="21"/>
        </w:rPr>
        <w:t>2、本项目乘客电梯为核心设备，投标人提供相同品牌产品且通过资格审查、符合性审查的不同投标人参加同一合同项下投标人，按一家投标人计算，评审后得分最高的同品牌供应商获得成交人推荐资格，其他同品牌投标人不作为成交候选人。</w:t>
      </w:r>
    </w:p>
    <w:p>
      <w:pPr>
        <w:pStyle w:val="2"/>
        <w:ind w:left="0" w:leftChars="0" w:firstLine="432" w:firstLineChars="180"/>
      </w:pPr>
    </w:p>
    <w:p>
      <w:pPr>
        <w:pStyle w:val="2"/>
        <w:ind w:left="0" w:leftChars="0" w:firstLine="432" w:firstLineChars="180"/>
      </w:pPr>
    </w:p>
    <w:p>
      <w:pPr>
        <w:pStyle w:val="2"/>
        <w:ind w:left="0" w:leftChars="0" w:firstLine="432" w:firstLineChars="180"/>
      </w:pPr>
    </w:p>
    <w:p>
      <w:pPr>
        <w:tabs>
          <w:tab w:val="left" w:pos="4960"/>
        </w:tabs>
        <w:rPr>
          <w:sz w:val="30"/>
          <w:szCs w:val="30"/>
        </w:rPr>
      </w:pPr>
      <w:r>
        <w:rPr>
          <w:rFonts w:hint="eastAsia"/>
        </w:rPr>
        <w:t xml:space="preserve">                                        </w:t>
      </w:r>
      <w:r>
        <w:rPr>
          <w:sz w:val="30"/>
          <w:szCs w:val="30"/>
        </w:rPr>
        <w:t>工程动力科</w:t>
      </w:r>
    </w:p>
    <w:p>
      <w:pPr>
        <w:tabs>
          <w:tab w:val="left" w:pos="4665"/>
        </w:tabs>
        <w:rPr>
          <w:sz w:val="30"/>
          <w:szCs w:val="30"/>
        </w:rPr>
      </w:pPr>
      <w:r>
        <w:rPr>
          <w:sz w:val="30"/>
          <w:szCs w:val="30"/>
        </w:rPr>
        <w:tab/>
      </w:r>
      <w:r>
        <w:rPr>
          <w:sz w:val="30"/>
          <w:szCs w:val="30"/>
        </w:rPr>
        <w:t>2</w:t>
      </w:r>
      <w:r>
        <w:rPr>
          <w:rFonts w:hint="eastAsia"/>
          <w:sz w:val="30"/>
          <w:szCs w:val="30"/>
        </w:rPr>
        <w:t>022年5月11日</w:t>
      </w:r>
    </w:p>
    <w:p>
      <w:pPr>
        <w:pStyle w:val="2"/>
        <w:ind w:left="0" w:leftChars="0" w:firstLine="432" w:firstLineChars="180"/>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GWLMWH+PingFangSC-Light">
    <w:altName w:val="Segoe Print"/>
    <w:panose1 w:val="00000000000000000000"/>
    <w:charset w:val="01"/>
    <w:family w:val="auto"/>
    <w:pitch w:val="default"/>
    <w:sig w:usb0="00000000" w:usb1="00000000" w:usb2="01010101" w:usb3="01010101" w:csb0="01010101" w:csb1="01010101"/>
  </w:font>
  <w:font w:name="Segoe Print">
    <w:panose1 w:val="02000600000000000000"/>
    <w:charset w:val="00"/>
    <w:family w:val="auto"/>
    <w:pitch w:val="default"/>
    <w:sig w:usb0="0000028F" w:usb1="00000000" w:usb2="00000000" w:usb3="00000000" w:csb0="2000009F" w:csb1="47010000"/>
  </w:font>
  <w:font w:name="Microsoft JhengHei">
    <w:panose1 w:val="020B0604030504040204"/>
    <w:charset w:val="88"/>
    <w:family w:val="swiss"/>
    <w:pitch w:val="default"/>
    <w:sig w:usb0="00000087" w:usb1="28AF40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single" w:color="auto" w:sz="6" w:space="1"/>
      </w:pBdr>
      <w:wordWrap w:val="0"/>
      <w:ind w:left="-2" w:leftChars="-1"/>
      <w:jc w:val="right"/>
    </w:pPr>
    <w:r>
      <w:rPr>
        <w:rFonts w:hint="eastAsia"/>
        <w:sz w:val="20"/>
      </w:rPr>
      <w:t xml:space="preserve">        </w:t>
    </w:r>
    <w:r>
      <w:rPr>
        <w:sz w:val="20"/>
      </w:rPr>
      <w:fldChar w:fldCharType="begin"/>
    </w:r>
    <w:r>
      <w:rPr>
        <w:rStyle w:val="9"/>
        <w:sz w:val="20"/>
        <w:szCs w:val="20"/>
      </w:rPr>
      <w:instrText xml:space="preserve"> PAGE </w:instrText>
    </w:r>
    <w:r>
      <w:rPr>
        <w:sz w:val="20"/>
      </w:rPr>
      <w:fldChar w:fldCharType="separate"/>
    </w:r>
    <w:r>
      <w:rPr>
        <w:rStyle w:val="9"/>
        <w:sz w:val="20"/>
        <w:szCs w:val="20"/>
      </w:rPr>
      <w:t>4</w:t>
    </w:r>
    <w:r>
      <w:rPr>
        <w:sz w:val="20"/>
      </w:rPr>
      <w:fldChar w:fldCharType="end"/>
    </w:r>
    <w:r>
      <w:rPr>
        <w:rFonts w:hint="eastAsia"/>
        <w:sz w:val="20"/>
      </w:rPr>
      <w:t xml:space="preserve"> </w:t>
    </w:r>
    <w:r>
      <w:rPr>
        <w:rFonts w:hint="eastAsia"/>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jc1NTYzZjU5YzRjNzdkYzEzNTdjOTRiZDI5NDk4NWMifQ=="/>
  </w:docVars>
  <w:rsids>
    <w:rsidRoot w:val="4278170C"/>
    <w:rsid w:val="001603BD"/>
    <w:rsid w:val="001803B9"/>
    <w:rsid w:val="001A6275"/>
    <w:rsid w:val="001D1AD8"/>
    <w:rsid w:val="00211070"/>
    <w:rsid w:val="00292BAF"/>
    <w:rsid w:val="002B02EF"/>
    <w:rsid w:val="002E038C"/>
    <w:rsid w:val="00404173"/>
    <w:rsid w:val="00416002"/>
    <w:rsid w:val="004411AA"/>
    <w:rsid w:val="00500E64"/>
    <w:rsid w:val="005A75FA"/>
    <w:rsid w:val="005C2FE4"/>
    <w:rsid w:val="00663058"/>
    <w:rsid w:val="00671A60"/>
    <w:rsid w:val="007C0D93"/>
    <w:rsid w:val="007D2F3D"/>
    <w:rsid w:val="00811967"/>
    <w:rsid w:val="00881427"/>
    <w:rsid w:val="008A3E71"/>
    <w:rsid w:val="009255B9"/>
    <w:rsid w:val="009C106B"/>
    <w:rsid w:val="00BA177A"/>
    <w:rsid w:val="00C04924"/>
    <w:rsid w:val="00C07ED0"/>
    <w:rsid w:val="00C24BA5"/>
    <w:rsid w:val="00C93E08"/>
    <w:rsid w:val="00CB61B9"/>
    <w:rsid w:val="00DA1269"/>
    <w:rsid w:val="00E24E15"/>
    <w:rsid w:val="00EC4BB9"/>
    <w:rsid w:val="00EF31CA"/>
    <w:rsid w:val="00FC51F4"/>
    <w:rsid w:val="00FC69AD"/>
    <w:rsid w:val="3D7F264A"/>
    <w:rsid w:val="4278170C"/>
    <w:rsid w:val="603B5F2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utoSpaceDE w:val="0"/>
      <w:autoSpaceDN w:val="0"/>
      <w:adjustRightInd w:val="0"/>
    </w:pPr>
    <w:rPr>
      <w:rFonts w:ascii="宋体" w:hAnsi="Times New Roman" w:eastAsia="宋体" w:cs="Times New Roman"/>
      <w:sz w:val="24"/>
      <w:szCs w:val="24"/>
      <w:lang w:val="en-US" w:eastAsia="zh-CN" w:bidi="ar-SA"/>
    </w:rPr>
  </w:style>
  <w:style w:type="paragraph" w:styleId="4">
    <w:name w:val="heading 1"/>
    <w:basedOn w:val="1"/>
    <w:next w:val="1"/>
    <w:qFormat/>
    <w:uiPriority w:val="0"/>
    <w:pPr>
      <w:outlineLvl w:val="0"/>
    </w:p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uiPriority w:val="99"/>
    <w:pPr>
      <w:autoSpaceDE w:val="0"/>
      <w:autoSpaceDN w:val="0"/>
      <w:adjustRightInd w:val="0"/>
      <w:spacing w:after="120"/>
      <w:ind w:left="420" w:leftChars="200" w:firstLine="420" w:firstLineChars="200"/>
      <w:jc w:val="left"/>
    </w:pPr>
    <w:rPr>
      <w:rFonts w:ascii="宋体"/>
      <w:sz w:val="24"/>
      <w:szCs w:val="24"/>
    </w:rPr>
  </w:style>
  <w:style w:type="paragraph" w:styleId="3">
    <w:name w:val="Body Text Indent"/>
    <w:basedOn w:val="1"/>
    <w:qFormat/>
    <w:uiPriority w:val="0"/>
    <w:pPr>
      <w:autoSpaceDE/>
      <w:autoSpaceDN/>
      <w:adjustRightInd/>
      <w:ind w:left="567" w:leftChars="270"/>
      <w:jc w:val="both"/>
    </w:pPr>
    <w:rPr>
      <w:rFonts w:ascii="Times New Roman"/>
      <w:kern w:val="2"/>
      <w:sz w:val="21"/>
      <w:szCs w:val="20"/>
    </w:rPr>
  </w:style>
  <w:style w:type="paragraph" w:styleId="5">
    <w:name w:val="footer"/>
    <w:basedOn w:val="1"/>
    <w:qFormat/>
    <w:uiPriority w:val="0"/>
    <w:pPr>
      <w:tabs>
        <w:tab w:val="center" w:pos="4153"/>
        <w:tab w:val="right" w:pos="8306"/>
      </w:tabs>
      <w:snapToGrid w:val="0"/>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character" w:styleId="9">
    <w:name w:val="page number"/>
    <w:basedOn w:val="8"/>
    <w:qFormat/>
    <w:uiPriority w:val="0"/>
  </w:style>
  <w:style w:type="paragraph" w:styleId="10">
    <w:name w:val="List Paragraph"/>
    <w:basedOn w:val="1"/>
    <w:qFormat/>
    <w:uiPriority w:val="34"/>
    <w:pPr>
      <w:autoSpaceDE/>
      <w:autoSpaceDN/>
      <w:adjustRightInd/>
      <w:ind w:firstLine="420" w:firstLineChars="200"/>
      <w:jc w:val="both"/>
    </w:pPr>
    <w:rPr>
      <w:rFonts w:asciiTheme="minorHAnsi" w:hAnsiTheme="minorHAnsi" w:eastAsiaTheme="minorEastAsia" w:cstheme="minorBidi"/>
      <w:kern w:val="2"/>
      <w:sz w:val="21"/>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4386</Words>
  <Characters>4992</Characters>
  <Lines>9</Lines>
  <Paragraphs>11</Paragraphs>
  <TotalTime>7</TotalTime>
  <ScaleCrop>false</ScaleCrop>
  <LinksUpToDate>false</LinksUpToDate>
  <CharactersWithSpaces>5077</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2022-05-14T01:42:00Z</dcterms:created>
  <dc:creator>Jack</dc:creator>
  <cp:lastModifiedBy>心愿（园园）</cp:lastModifiedBy>
  <dcterms:modified xsi:type="dcterms:W3CDTF">2022-05-16T01:16:04Z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F2CB7A131D684220A6E964422748D095</vt:lpwstr>
  </property>
</Properties>
</file>