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firstLine="1446" w:firstLineChars="400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采购介入治疗室新增加DSA机房</w:t>
      </w:r>
    </w:p>
    <w:p>
      <w:pPr>
        <w:ind w:firstLine="2530" w:firstLineChars="700"/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配电箱的需求书</w:t>
      </w:r>
    </w:p>
    <w:p>
      <w:pPr>
        <w:rPr>
          <w:sz w:val="36"/>
          <w:szCs w:val="36"/>
        </w:rPr>
      </w:pPr>
    </w:p>
    <w:p>
      <w:pPr>
        <w:pStyle w:val="4"/>
        <w:numPr>
          <w:ilvl w:val="0"/>
          <w:numId w:val="1"/>
        </w:numPr>
        <w:ind w:firstLineChars="0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项目简介</w:t>
      </w:r>
    </w:p>
    <w:p>
      <w:pPr>
        <w:pStyle w:val="4"/>
        <w:ind w:left="720" w:firstLine="640"/>
        <w:rPr>
          <w:sz w:val="32"/>
          <w:szCs w:val="32"/>
        </w:rPr>
      </w:pPr>
      <w:r>
        <w:rPr>
          <w:rFonts w:hint="eastAsia"/>
          <w:sz w:val="32"/>
          <w:szCs w:val="32"/>
        </w:rPr>
        <w:t>由于设计的缺陷，介入治疗室新增加DSA机房的照明插座箱3—ATAL1和DSA设备配电箱3—ATAP1的电气图只出现在电气安装图纸上，而在项目清单上是漏项的，以致影响了项目施工进行。目前DSA机房施工已进入收尾阶段，为了完善施工项目，配套DSA机房使用设施，现需采购3—ATAL1和3—ATAP1两个配电箱。</w:t>
      </w:r>
    </w:p>
    <w:p>
      <w:pPr>
        <w:pStyle w:val="4"/>
        <w:numPr>
          <w:ilvl w:val="0"/>
          <w:numId w:val="1"/>
        </w:numPr>
        <w:ind w:firstLineChars="0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施工标准和依据</w:t>
      </w:r>
    </w:p>
    <w:p>
      <w:pPr>
        <w:pStyle w:val="4"/>
        <w:ind w:left="72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1、《供配电系统设计规范》（GB50052--2009）</w:t>
      </w:r>
    </w:p>
    <w:p>
      <w:pPr>
        <w:pStyle w:val="4"/>
        <w:ind w:left="72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2、《10KV及以下变电所设计规范》（GB50053--94）</w:t>
      </w:r>
    </w:p>
    <w:p>
      <w:pPr>
        <w:pStyle w:val="4"/>
        <w:ind w:left="72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3、《低压配电设计规范》（GB50054--2011）</w:t>
      </w:r>
    </w:p>
    <w:p>
      <w:pPr>
        <w:pStyle w:val="4"/>
        <w:ind w:left="72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4、《医疗建筑电气设计规范》（JGJ312--2013）</w:t>
      </w:r>
    </w:p>
    <w:p>
      <w:pPr>
        <w:pStyle w:val="4"/>
        <w:ind w:left="72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5、《综合布线系统工程设计规范》（GB50311--2016）</w:t>
      </w:r>
    </w:p>
    <w:p>
      <w:pPr>
        <w:pStyle w:val="4"/>
        <w:ind w:left="72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6、《民用建筑电气设计规范》（JGJ16--2008）</w:t>
      </w:r>
    </w:p>
    <w:p>
      <w:pPr>
        <w:pStyle w:val="4"/>
        <w:ind w:left="72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7、《建筑设计防火规范》（GB20016--2014）(2018年版)</w:t>
      </w:r>
    </w:p>
    <w:p>
      <w:pPr>
        <w:pStyle w:val="4"/>
        <w:ind w:left="72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8、《电力工程电缆设计规范》（GB50217--2007）</w:t>
      </w:r>
    </w:p>
    <w:p>
      <w:pPr>
        <w:pStyle w:val="4"/>
        <w:ind w:left="72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9、《交流电气装置的接地设计规范》（GB/T50065--2011）</w:t>
      </w:r>
    </w:p>
    <w:p>
      <w:pPr>
        <w:pStyle w:val="4"/>
        <w:ind w:left="720" w:firstLine="6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10、《电力装置的继电保护和自动装置设计规范》（GB/T50062--2008）</w:t>
      </w:r>
    </w:p>
    <w:p>
      <w:pPr>
        <w:pStyle w:val="4"/>
        <w:ind w:left="720" w:firstLine="0" w:firstLineChars="0"/>
        <w:rPr>
          <w:sz w:val="30"/>
          <w:szCs w:val="30"/>
        </w:rPr>
      </w:pPr>
      <w:r>
        <w:rPr>
          <w:rFonts w:hint="eastAsia"/>
          <w:sz w:val="30"/>
          <w:szCs w:val="30"/>
        </w:rPr>
        <w:t>11、《工程建筑标准强制性条文》</w:t>
      </w:r>
    </w:p>
    <w:p>
      <w:pPr>
        <w:rPr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三、项目内容和要求</w:t>
      </w:r>
    </w:p>
    <w:p>
      <w:pPr>
        <w:tabs>
          <w:tab w:val="left" w:pos="705"/>
        </w:tabs>
        <w:rPr>
          <w:rFonts w:hint="eastAsia"/>
          <w:b/>
          <w:sz w:val="36"/>
          <w:szCs w:val="36"/>
        </w:rPr>
      </w:pPr>
      <w:r>
        <w:rPr>
          <w:b/>
          <w:sz w:val="36"/>
          <w:szCs w:val="36"/>
        </w:rPr>
        <w:tab/>
      </w:r>
      <w:r>
        <w:rPr>
          <w:rFonts w:hint="eastAsia"/>
          <w:b/>
          <w:sz w:val="36"/>
          <w:szCs w:val="36"/>
        </w:rPr>
        <w:t>1、项目内容</w:t>
      </w:r>
    </w:p>
    <w:p>
      <w:pPr>
        <w:tabs>
          <w:tab w:val="left" w:pos="1215"/>
        </w:tabs>
        <w:ind w:firstLine="450" w:firstLineChars="150"/>
        <w:rPr>
          <w:sz w:val="30"/>
          <w:szCs w:val="30"/>
        </w:rPr>
      </w:pPr>
      <w:r>
        <w:rPr>
          <w:rFonts w:hint="eastAsia"/>
          <w:sz w:val="30"/>
          <w:szCs w:val="30"/>
        </w:rPr>
        <w:t>在原设计电气图纸基础上，</w:t>
      </w:r>
      <w:r>
        <w:rPr>
          <w:sz w:val="30"/>
          <w:szCs w:val="30"/>
        </w:rPr>
        <w:t>3—ATAL1</w:t>
      </w:r>
      <w:r>
        <w:rPr>
          <w:rFonts w:hint="eastAsia"/>
          <w:sz w:val="30"/>
          <w:szCs w:val="30"/>
        </w:rPr>
        <w:t>取消后面四个回路，另增加一个80A/3P断路器供空调箱专用；DSA设备配电箱</w:t>
      </w:r>
      <w:r>
        <w:rPr>
          <w:sz w:val="30"/>
          <w:szCs w:val="30"/>
        </w:rPr>
        <w:t>3—ATAP1</w:t>
      </w:r>
      <w:r>
        <w:rPr>
          <w:rFonts w:hint="eastAsia"/>
          <w:sz w:val="30"/>
          <w:szCs w:val="30"/>
        </w:rPr>
        <w:t>取消电源稳压器和BRK控制部分，其他保持不变。</w:t>
      </w:r>
    </w:p>
    <w:p>
      <w:pPr>
        <w:tabs>
          <w:tab w:val="left" w:pos="705"/>
        </w:tabs>
        <w:rPr>
          <w:b/>
          <w:sz w:val="36"/>
          <w:szCs w:val="36"/>
        </w:rPr>
      </w:pPr>
      <w:r>
        <w:rPr>
          <w:sz w:val="36"/>
          <w:szCs w:val="36"/>
        </w:rPr>
        <w:tab/>
      </w:r>
      <w:r>
        <w:rPr>
          <w:rFonts w:hint="eastAsia"/>
          <w:b/>
          <w:sz w:val="36"/>
          <w:szCs w:val="36"/>
        </w:rPr>
        <w:t>2、项目要求</w:t>
      </w:r>
    </w:p>
    <w:p>
      <w:pPr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2.1、施工单位必须具有的高低压电器生产和安装资质。</w:t>
      </w:r>
    </w:p>
    <w:p>
      <w:pPr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2.2、敷设电缆和安装配电箱必须符合电气等规范要求，详细见“施工标准和依据”。</w:t>
      </w:r>
    </w:p>
    <w:p>
      <w:pPr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2.3、配电箱元器件必须采用合资品牌：标准型施耐德、西门子或ABB；所有电气元配件性能、安装必须符合电气规范要求。</w:t>
      </w:r>
    </w:p>
    <w:p>
      <w:pPr>
        <w:ind w:firstLine="600" w:firstLineChars="200"/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>2.4、所有施工项目质保期为一年。</w:t>
      </w:r>
    </w:p>
    <w:p>
      <w:pPr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ab/>
      </w:r>
      <w:r>
        <w:rPr>
          <w:rFonts w:hint="eastAsia"/>
          <w:sz w:val="30"/>
          <w:szCs w:val="30"/>
        </w:rPr>
        <w:t xml:space="preserve"> 2.5、施工单位在质保期出现故障报修时，需半小时内响应，2小时内故障处理完毕，重大故障必须在12小时内解决并恢复正常供电。每违约一次，扣除项目工程总金额的1％作为罚款。</w:t>
      </w:r>
    </w:p>
    <w:p>
      <w:pPr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ab/>
      </w:r>
      <w:r>
        <w:rPr>
          <w:rFonts w:hint="eastAsia"/>
          <w:sz w:val="30"/>
          <w:szCs w:val="30"/>
        </w:rPr>
        <w:t xml:space="preserve"> 2.6、质量保证金：以项目工程总金额的3％作为质量保证金，</w:t>
      </w:r>
    </w:p>
    <w:p>
      <w:pPr>
        <w:rPr>
          <w:sz w:val="30"/>
          <w:szCs w:val="30"/>
        </w:rPr>
      </w:pPr>
      <w:r>
        <w:rPr>
          <w:rFonts w:hint="eastAsia"/>
          <w:sz w:val="30"/>
          <w:szCs w:val="30"/>
        </w:rPr>
        <w:tab/>
      </w:r>
      <w:r>
        <w:rPr>
          <w:rFonts w:hint="eastAsia"/>
          <w:sz w:val="30"/>
          <w:szCs w:val="30"/>
        </w:rPr>
        <w:t xml:space="preserve"> 2.7、工程预算价不得高于16100元。</w:t>
      </w:r>
    </w:p>
    <w:p>
      <w:pPr>
        <w:rPr>
          <w:sz w:val="30"/>
          <w:szCs w:val="30"/>
        </w:rPr>
      </w:pPr>
    </w:p>
    <w:p>
      <w:pPr>
        <w:tabs>
          <w:tab w:val="left" w:pos="4680"/>
        </w:tabs>
        <w:rPr>
          <w:rFonts w:hint="eastAsia"/>
          <w:sz w:val="30"/>
          <w:szCs w:val="30"/>
        </w:rPr>
      </w:pPr>
      <w:r>
        <w:rPr>
          <w:sz w:val="30"/>
          <w:szCs w:val="30"/>
        </w:rPr>
        <w:tab/>
      </w:r>
      <w:r>
        <w:rPr>
          <w:rFonts w:hint="eastAsia"/>
          <w:sz w:val="30"/>
          <w:szCs w:val="30"/>
        </w:rPr>
        <w:t>湛江中心人民医院</w:t>
      </w:r>
      <w:bookmarkStart w:id="0" w:name="_GoBack"/>
      <w:bookmarkEnd w:id="0"/>
    </w:p>
    <w:p>
      <w:pPr>
        <w:tabs>
          <w:tab w:val="left" w:pos="4980"/>
        </w:tabs>
        <w:rPr>
          <w:rFonts w:hint="eastAsia"/>
          <w:sz w:val="30"/>
          <w:szCs w:val="30"/>
        </w:rPr>
      </w:pPr>
      <w:r>
        <w:rPr>
          <w:rFonts w:hint="eastAsia"/>
          <w:sz w:val="30"/>
          <w:szCs w:val="30"/>
        </w:rPr>
        <w:tab/>
      </w:r>
      <w:r>
        <w:rPr>
          <w:rFonts w:hint="eastAsia"/>
          <w:sz w:val="30"/>
          <w:szCs w:val="30"/>
        </w:rPr>
        <w:t>工程动力科</w:t>
      </w:r>
    </w:p>
    <w:p>
      <w:pPr>
        <w:tabs>
          <w:tab w:val="left" w:pos="4680"/>
        </w:tabs>
        <w:rPr>
          <w:sz w:val="30"/>
          <w:szCs w:val="30"/>
        </w:rPr>
      </w:pPr>
      <w:r>
        <w:rPr>
          <w:rFonts w:hint="eastAsia"/>
          <w:sz w:val="30"/>
          <w:szCs w:val="30"/>
        </w:rPr>
        <w:t xml:space="preserve">                                2021年7月</w:t>
      </w:r>
      <w:r>
        <w:rPr>
          <w:rFonts w:hint="eastAsia"/>
          <w:sz w:val="30"/>
          <w:szCs w:val="30"/>
          <w:lang w:val="en-US" w:eastAsia="zh-CN"/>
        </w:rPr>
        <w:t>26</w:t>
      </w:r>
      <w:r>
        <w:rPr>
          <w:rFonts w:hint="eastAsia"/>
          <w:sz w:val="30"/>
          <w:szCs w:val="30"/>
        </w:rPr>
        <w:t>日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2F325BAB"/>
    <w:multiLevelType w:val="multilevel"/>
    <w:tmpl w:val="2F325BAB"/>
    <w:lvl w:ilvl="0" w:tentative="0">
      <w:start w:val="1"/>
      <w:numFmt w:val="japaneseCounting"/>
      <w:lvlText w:val="%1、"/>
      <w:lvlJc w:val="left"/>
      <w:pPr>
        <w:ind w:left="720" w:hanging="720"/>
      </w:pPr>
      <w:rPr>
        <w:rFonts w:hint="default"/>
      </w:rPr>
    </w:lvl>
    <w:lvl w:ilvl="1" w:tentative="0">
      <w:start w:val="1"/>
      <w:numFmt w:val="lowerLetter"/>
      <w:lvlText w:val="%2)"/>
      <w:lvlJc w:val="left"/>
      <w:pPr>
        <w:ind w:left="840" w:hanging="420"/>
      </w:pPr>
    </w:lvl>
    <w:lvl w:ilvl="2" w:tentative="0">
      <w:start w:val="1"/>
      <w:numFmt w:val="lowerRoman"/>
      <w:lvlText w:val="%3."/>
      <w:lvlJc w:val="right"/>
      <w:pPr>
        <w:ind w:left="1260" w:hanging="420"/>
      </w:pPr>
    </w:lvl>
    <w:lvl w:ilvl="3" w:tentative="0">
      <w:start w:val="1"/>
      <w:numFmt w:val="decimal"/>
      <w:lvlText w:val="%4."/>
      <w:lvlJc w:val="left"/>
      <w:pPr>
        <w:ind w:left="1680" w:hanging="420"/>
      </w:pPr>
    </w:lvl>
    <w:lvl w:ilvl="4" w:tentative="0">
      <w:start w:val="1"/>
      <w:numFmt w:val="lowerLetter"/>
      <w:lvlText w:val="%5)"/>
      <w:lvlJc w:val="left"/>
      <w:pPr>
        <w:ind w:left="2100" w:hanging="420"/>
      </w:pPr>
    </w:lvl>
    <w:lvl w:ilvl="5" w:tentative="0">
      <w:start w:val="1"/>
      <w:numFmt w:val="lowerRoman"/>
      <w:lvlText w:val="%6."/>
      <w:lvlJc w:val="right"/>
      <w:pPr>
        <w:ind w:left="2520" w:hanging="420"/>
      </w:pPr>
    </w:lvl>
    <w:lvl w:ilvl="6" w:tentative="0">
      <w:start w:val="1"/>
      <w:numFmt w:val="decimal"/>
      <w:lvlText w:val="%7."/>
      <w:lvlJc w:val="left"/>
      <w:pPr>
        <w:ind w:left="2940" w:hanging="420"/>
      </w:pPr>
    </w:lvl>
    <w:lvl w:ilvl="7" w:tentative="0">
      <w:start w:val="1"/>
      <w:numFmt w:val="lowerLetter"/>
      <w:lvlText w:val="%8)"/>
      <w:lvlJc w:val="left"/>
      <w:pPr>
        <w:ind w:left="3360" w:hanging="420"/>
      </w:pPr>
    </w:lvl>
    <w:lvl w:ilvl="8" w:tentative="0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006E4"/>
    <w:rsid w:val="009C7717"/>
    <w:rsid w:val="00B006E4"/>
    <w:rsid w:val="00D42443"/>
    <w:rsid w:val="00D9449F"/>
    <w:rsid w:val="00E41031"/>
    <w:rsid w:val="00E6223C"/>
    <w:rsid w:val="00F625FA"/>
    <w:rsid w:val="0F6957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2</Pages>
  <Words>147</Words>
  <Characters>841</Characters>
  <Lines>7</Lines>
  <Paragraphs>1</Paragraphs>
  <TotalTime>0</TotalTime>
  <ScaleCrop>false</ScaleCrop>
  <LinksUpToDate>false</LinksUpToDate>
  <CharactersWithSpaces>987</CharactersWithSpaces>
  <Application>WPS Office_11.1.0.10667_F1E327BC-269C-435d-A152-05C5408002CA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2021-07-25T08:49:00Z</dcterms:created>
  <dc:creator>丁边阅</dc:creator>
  <cp:lastModifiedBy>心愿（园园）</cp:lastModifiedBy>
  <dcterms:modified xsi:type="dcterms:W3CDTF">2021-07-26T00:12:10Z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2052-11.1.0.10667</vt:lpwstr>
  </property>
  <property fmtid="{D5CDD505-2E9C-101B-9397-08002B2CF9AE}" pid="3" name="ICV">
    <vt:lpwstr>7295623061D84D53A25FDDF9B8046DB3</vt:lpwstr>
  </property>
</Properties>
</file>