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仿宋_GB2312" w:eastAsia="仿宋_GB2312" w:cs="仿宋_GB2312"/>
          <w:b/>
          <w:bCs/>
          <w:sz w:val="44"/>
          <w:szCs w:val="44"/>
        </w:rPr>
      </w:pPr>
      <w:bookmarkStart w:id="0" w:name="_GoBack"/>
      <w:r>
        <w:rPr>
          <w:rFonts w:hint="eastAsia" w:ascii="仿宋_GB2312" w:hAnsi="仿宋_GB2312" w:eastAsia="仿宋_GB2312" w:cs="仿宋_GB2312"/>
          <w:b/>
          <w:bCs/>
          <w:sz w:val="44"/>
          <w:szCs w:val="44"/>
          <w:lang w:val="en-US" w:eastAsia="zh-CN"/>
        </w:rPr>
        <w:t>2021年</w:t>
      </w:r>
      <w:r>
        <w:rPr>
          <w:rFonts w:hint="eastAsia" w:ascii="仿宋_GB2312" w:hAnsi="仿宋_GB2312" w:eastAsia="仿宋_GB2312" w:cs="仿宋_GB2312"/>
          <w:b/>
          <w:bCs/>
          <w:sz w:val="44"/>
          <w:szCs w:val="44"/>
        </w:rPr>
        <w:t>湛江中心人民医院地下车场购置公众责任险和停车场</w:t>
      </w:r>
      <w:r>
        <w:rPr>
          <w:rFonts w:hint="eastAsia" w:ascii="仿宋_GB2312" w:hAnsi="仿宋_GB2312" w:eastAsia="仿宋_GB2312" w:cs="仿宋_GB2312"/>
          <w:b/>
          <w:bCs/>
          <w:sz w:val="44"/>
          <w:szCs w:val="44"/>
          <w:lang w:val="en-US" w:eastAsia="zh-CN"/>
        </w:rPr>
        <w:t>(2363个车位)</w:t>
      </w:r>
      <w:r>
        <w:rPr>
          <w:rFonts w:hint="eastAsia" w:ascii="仿宋_GB2312" w:hAnsi="仿宋_GB2312" w:eastAsia="仿宋_GB2312" w:cs="仿宋_GB2312"/>
          <w:b/>
          <w:bCs/>
          <w:sz w:val="44"/>
          <w:szCs w:val="44"/>
        </w:rPr>
        <w:t>购买责任保险</w:t>
      </w:r>
      <w:r>
        <w:rPr>
          <w:rFonts w:hint="eastAsia" w:ascii="仿宋_GB2312" w:hAnsi="仿宋_GB2312" w:eastAsia="仿宋_GB2312" w:cs="仿宋_GB2312"/>
          <w:b/>
          <w:bCs/>
          <w:sz w:val="44"/>
          <w:szCs w:val="44"/>
          <w:lang w:eastAsia="zh-CN"/>
        </w:rPr>
        <w:t>需求</w:t>
      </w:r>
      <w:r>
        <w:rPr>
          <w:rFonts w:hint="eastAsia" w:ascii="仿宋_GB2312" w:hAnsi="仿宋_GB2312" w:eastAsia="仿宋_GB2312" w:cs="仿宋_GB2312"/>
          <w:b/>
          <w:bCs/>
          <w:sz w:val="44"/>
          <w:szCs w:val="44"/>
        </w:rPr>
        <w:t>：</w:t>
      </w:r>
    </w:p>
    <w:bookmarkEnd w:id="0"/>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1、累计赔偿限额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860万／年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320万／年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每次事故每人赔偿限额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30万／年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每次事故每车位赔偿限额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30万／年</w:t>
      </w:r>
    </w:p>
    <w:p>
      <w:pPr>
        <w:pStyle w:val="4"/>
        <w:numPr>
          <w:ilvl w:val="0"/>
          <w:numId w:val="0"/>
        </w:numPr>
        <w:ind w:leftChars="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2、</w:t>
      </w:r>
      <w:r>
        <w:rPr>
          <w:rFonts w:hint="eastAsia" w:ascii="仿宋_GB2312" w:hAnsi="仿宋_GB2312" w:eastAsia="仿宋_GB2312" w:cs="仿宋_GB2312"/>
          <w:kern w:val="2"/>
          <w:sz w:val="32"/>
          <w:szCs w:val="32"/>
          <w:lang w:val="en-US" w:eastAsia="zh-CN" w:bidi="ar-SA"/>
        </w:rPr>
        <w:t>被保险人责任保险事故所支出的医疗费用保险人每次扣除人民币100元绝对免赔后，在赔偿限额范围内按100%赔付。</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3、每次非盗抢事故每车位绝对免赔为人民币100元或核定损失金额的5%，两者以高者为准；全车盗抢事故绝对免赔率20%。</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4、停车场发生所保管车辆的车内装载或携带物品的所有损失以及以下标的物的被盗窃、被抢劫、被抢夺损失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主险每次事故财产损失绝对免赔为人民币300元或核定损失金额的5%，两者以高者为准。</w:t>
      </w:r>
      <w:r>
        <w:rPr>
          <w:rFonts w:hint="eastAsia" w:ascii="仿宋_GB2312" w:hAnsi="仿宋_GB2312" w:eastAsia="仿宋_GB2312" w:cs="仿宋_GB2312"/>
          <w:sz w:val="32"/>
          <w:szCs w:val="32"/>
          <w:lang w:val="en-US" w:eastAsia="zh-CN"/>
        </w:rPr>
        <w:t xml:space="preserve">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宋体"/>
    <w:panose1 w:val="00000000000000000000"/>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CE646F"/>
    <w:rsid w:val="19CE646F"/>
    <w:rsid w:val="28902EC9"/>
    <w:rsid w:val="2DD81DE9"/>
    <w:rsid w:val="2EC07E49"/>
    <w:rsid w:val="2F1A2183"/>
    <w:rsid w:val="3D6C447C"/>
    <w:rsid w:val="45970111"/>
    <w:rsid w:val="66C0526D"/>
    <w:rsid w:val="69387E9F"/>
    <w:rsid w:val="72CD26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列出段落1"/>
    <w:basedOn w:val="1"/>
    <w:qFormat/>
    <w:uiPriority w:val="0"/>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2019-10-28T00:36:00Z</dcterms:created>
  <dc:creator>吴振亮</dc:creator>
  <cp:lastModifiedBy>吴振亮</cp:lastModifiedBy>
  <cp:lastPrinted>2019-10-28T00:43:00Z</cp:lastPrinted>
  <dcterms:modified xsi:type="dcterms:W3CDTF">2021-01-11T08:11:57Z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