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ascii="宋体" w:hAnsi="宋体"/>
          <w:szCs w:val="21"/>
        </w:rPr>
      </w:pPr>
    </w:p>
    <w:p>
      <w:pPr>
        <w:widowControl/>
        <w:rPr>
          <w:rFonts w:ascii="宋体" w:hAnsi="宋体"/>
          <w:b/>
          <w:bCs/>
          <w:kern w:val="0"/>
          <w:sz w:val="52"/>
          <w:szCs w:val="52"/>
        </w:rPr>
      </w:pPr>
    </w:p>
    <w:p>
      <w:pPr>
        <w:widowControl/>
        <w:rPr>
          <w:rFonts w:ascii="宋体" w:hAnsi="宋体"/>
          <w:b/>
          <w:bCs/>
          <w:kern w:val="0"/>
          <w:sz w:val="52"/>
          <w:szCs w:val="52"/>
        </w:rPr>
      </w:pPr>
    </w:p>
    <w:p>
      <w:pPr>
        <w:widowControl/>
        <w:ind w:firstLine="1044" w:firstLineChars="200"/>
        <w:rPr>
          <w:rFonts w:ascii="宋体" w:hAnsi="宋体"/>
          <w:b/>
          <w:bCs/>
          <w:kern w:val="0"/>
          <w:sz w:val="52"/>
          <w:szCs w:val="52"/>
        </w:rPr>
      </w:pPr>
      <w:r>
        <w:rPr>
          <w:rFonts w:hint="eastAsia" w:ascii="宋体" w:hAnsi="宋体"/>
          <w:b/>
          <w:bCs/>
          <w:kern w:val="0"/>
          <w:sz w:val="52"/>
          <w:szCs w:val="52"/>
        </w:rPr>
        <w:t>湛江中心人民医院核心交换</w:t>
      </w:r>
    </w:p>
    <w:p>
      <w:pPr>
        <w:widowControl/>
        <w:ind w:firstLine="2349" w:firstLineChars="450"/>
        <w:rPr>
          <w:rFonts w:ascii="宋体" w:hAnsi="宋体"/>
          <w:kern w:val="0"/>
          <w:sz w:val="28"/>
          <w:szCs w:val="28"/>
        </w:rPr>
      </w:pPr>
      <w:r>
        <w:rPr>
          <w:rFonts w:hint="eastAsia" w:ascii="宋体" w:hAnsi="宋体"/>
          <w:b/>
          <w:bCs/>
          <w:kern w:val="0"/>
          <w:sz w:val="52"/>
          <w:szCs w:val="52"/>
        </w:rPr>
        <w:t>扩容项目需求</w:t>
      </w:r>
      <w:bookmarkStart w:id="74" w:name="_GoBack"/>
      <w:bookmarkEnd w:id="74"/>
      <w:r>
        <w:rPr>
          <w:rFonts w:hint="eastAsia" w:ascii="宋体" w:hAnsi="宋体"/>
          <w:b/>
          <w:bCs/>
          <w:kern w:val="0"/>
          <w:sz w:val="52"/>
          <w:szCs w:val="52"/>
        </w:rPr>
        <w:t>书</w:t>
      </w:r>
      <w:r>
        <w:rPr>
          <w:rFonts w:hint="eastAsia" w:ascii="宋体" w:hAnsi="宋体"/>
          <w:kern w:val="0"/>
          <w:sz w:val="44"/>
          <w:szCs w:val="44"/>
        </w:rPr>
        <w:t xml:space="preserve">       </w:t>
      </w:r>
    </w:p>
    <w:p>
      <w:pPr>
        <w:widowControl/>
        <w:rPr>
          <w:rFonts w:ascii="宋体" w:hAnsi="宋体"/>
          <w:kern w:val="0"/>
          <w:sz w:val="44"/>
          <w:szCs w:val="44"/>
        </w:rPr>
      </w:pPr>
    </w:p>
    <w:p>
      <w:pPr>
        <w:widowControl/>
        <w:rPr>
          <w:rFonts w:ascii="宋体" w:hAnsi="宋体"/>
          <w:kern w:val="0"/>
          <w:sz w:val="44"/>
          <w:szCs w:val="44"/>
        </w:rPr>
      </w:pPr>
    </w:p>
    <w:p>
      <w:pPr>
        <w:widowControl/>
        <w:rPr>
          <w:rFonts w:ascii="宋体" w:hAnsi="宋体"/>
          <w:kern w:val="0"/>
          <w:sz w:val="44"/>
          <w:szCs w:val="44"/>
        </w:rPr>
      </w:pPr>
    </w:p>
    <w:p>
      <w:pPr>
        <w:widowControl/>
        <w:rPr>
          <w:rFonts w:ascii="宋体" w:hAnsi="宋体"/>
          <w:kern w:val="0"/>
          <w:sz w:val="44"/>
          <w:szCs w:val="44"/>
        </w:rPr>
      </w:pPr>
    </w:p>
    <w:p>
      <w:pPr>
        <w:widowControl/>
        <w:jc w:val="center"/>
        <w:rPr>
          <w:rFonts w:ascii="宋体" w:hAnsi="宋体"/>
          <w:kern w:val="0"/>
          <w:sz w:val="36"/>
          <w:szCs w:val="36"/>
        </w:rPr>
      </w:pPr>
    </w:p>
    <w:p>
      <w:pPr>
        <w:widowControl/>
        <w:jc w:val="center"/>
        <w:rPr>
          <w:rFonts w:ascii="宋体" w:hAnsi="宋体"/>
          <w:kern w:val="0"/>
          <w:sz w:val="36"/>
          <w:szCs w:val="36"/>
        </w:rPr>
      </w:pPr>
    </w:p>
    <w:p>
      <w:pPr>
        <w:widowControl/>
        <w:jc w:val="center"/>
        <w:rPr>
          <w:rFonts w:ascii="宋体" w:hAnsi="宋体"/>
          <w:kern w:val="0"/>
          <w:sz w:val="36"/>
          <w:szCs w:val="36"/>
        </w:rPr>
      </w:pPr>
    </w:p>
    <w:p>
      <w:pPr>
        <w:widowControl/>
        <w:jc w:val="center"/>
        <w:rPr>
          <w:rFonts w:ascii="宋体" w:hAnsi="宋体"/>
          <w:kern w:val="0"/>
          <w:sz w:val="36"/>
          <w:szCs w:val="36"/>
        </w:rPr>
      </w:pPr>
    </w:p>
    <w:p>
      <w:pPr>
        <w:widowControl/>
        <w:jc w:val="center"/>
        <w:rPr>
          <w:rFonts w:ascii="宋体" w:hAnsi="宋体"/>
          <w:kern w:val="0"/>
          <w:sz w:val="36"/>
          <w:szCs w:val="36"/>
        </w:rPr>
      </w:pPr>
    </w:p>
    <w:p>
      <w:pPr>
        <w:widowControl/>
        <w:jc w:val="center"/>
        <w:rPr>
          <w:rFonts w:ascii="宋体" w:hAnsi="宋体"/>
          <w:kern w:val="0"/>
          <w:sz w:val="36"/>
          <w:szCs w:val="36"/>
        </w:rPr>
      </w:pPr>
    </w:p>
    <w:p>
      <w:pPr>
        <w:widowControl/>
        <w:ind w:firstLine="3200" w:firstLineChars="1000"/>
        <w:rPr>
          <w:rFonts w:ascii="宋体" w:hAnsi="宋体"/>
          <w:kern w:val="0"/>
          <w:sz w:val="32"/>
          <w:szCs w:val="32"/>
        </w:rPr>
      </w:pPr>
      <w:r>
        <w:rPr>
          <w:rFonts w:hint="eastAsia" w:ascii="宋体" w:hAnsi="宋体"/>
          <w:kern w:val="0"/>
          <w:sz w:val="32"/>
          <w:szCs w:val="32"/>
        </w:rPr>
        <w:t>2020年</w:t>
      </w:r>
      <w:r>
        <w:rPr>
          <w:rFonts w:ascii="宋体" w:hAnsi="宋体"/>
          <w:kern w:val="0"/>
          <w:sz w:val="32"/>
          <w:szCs w:val="32"/>
        </w:rPr>
        <w:t>12</w:t>
      </w:r>
      <w:r>
        <w:rPr>
          <w:rFonts w:hint="eastAsia" w:ascii="宋体" w:hAnsi="宋体"/>
          <w:kern w:val="0"/>
          <w:sz w:val="32"/>
          <w:szCs w:val="32"/>
        </w:rPr>
        <w:t>月</w:t>
      </w:r>
    </w:p>
    <w:p>
      <w:pPr>
        <w:pStyle w:val="26"/>
        <w:rPr>
          <w:rFonts w:ascii="宋体" w:hAnsi="宋体"/>
        </w:rPr>
      </w:pPr>
    </w:p>
    <w:p>
      <w:pPr>
        <w:widowControl/>
        <w:jc w:val="left"/>
        <w:rPr>
          <w:rFonts w:ascii="宋体" w:hAnsi="宋体"/>
          <w:b/>
          <w:bCs/>
          <w:kern w:val="44"/>
          <w:sz w:val="44"/>
          <w:szCs w:val="44"/>
        </w:rPr>
      </w:pPr>
      <w:bookmarkStart w:id="0" w:name="_Toc176867405"/>
      <w:bookmarkEnd w:id="0"/>
      <w:bookmarkStart w:id="1" w:name="_Toc176581203"/>
      <w:bookmarkEnd w:id="1"/>
      <w:bookmarkStart w:id="2" w:name="_Toc176438524"/>
      <w:bookmarkEnd w:id="2"/>
      <w:bookmarkStart w:id="3" w:name="_Toc176435851"/>
      <w:bookmarkEnd w:id="3"/>
      <w:bookmarkStart w:id="4" w:name="_Toc176435803"/>
      <w:bookmarkEnd w:id="4"/>
      <w:bookmarkStart w:id="5" w:name="_Toc176867404"/>
      <w:bookmarkEnd w:id="5"/>
      <w:bookmarkStart w:id="6" w:name="_Toc176581202"/>
      <w:bookmarkEnd w:id="6"/>
      <w:bookmarkStart w:id="7" w:name="_Toc176438523"/>
      <w:bookmarkEnd w:id="7"/>
      <w:bookmarkStart w:id="8" w:name="_Toc176435850"/>
      <w:bookmarkEnd w:id="8"/>
      <w:bookmarkStart w:id="9" w:name="_Toc176435802"/>
      <w:bookmarkEnd w:id="9"/>
      <w:bookmarkStart w:id="10" w:name="_Toc176867403"/>
      <w:bookmarkEnd w:id="10"/>
      <w:bookmarkStart w:id="11" w:name="_Toc176581201"/>
      <w:bookmarkEnd w:id="11"/>
      <w:bookmarkStart w:id="12" w:name="_Toc176438522"/>
      <w:bookmarkEnd w:id="12"/>
      <w:bookmarkStart w:id="13" w:name="_Toc176435849"/>
      <w:bookmarkEnd w:id="13"/>
      <w:bookmarkStart w:id="14" w:name="_Toc176435801"/>
      <w:bookmarkEnd w:id="14"/>
      <w:bookmarkStart w:id="15" w:name="_Toc176867402"/>
      <w:bookmarkEnd w:id="15"/>
      <w:bookmarkStart w:id="16" w:name="_Toc176581200"/>
      <w:bookmarkEnd w:id="16"/>
      <w:bookmarkStart w:id="17" w:name="_Toc176438521"/>
      <w:bookmarkEnd w:id="17"/>
      <w:bookmarkStart w:id="18" w:name="_Toc176435848"/>
      <w:bookmarkEnd w:id="18"/>
      <w:bookmarkStart w:id="19" w:name="_Toc176435800"/>
      <w:bookmarkEnd w:id="19"/>
      <w:bookmarkStart w:id="20" w:name="_Toc176867401"/>
      <w:bookmarkEnd w:id="20"/>
      <w:bookmarkStart w:id="21" w:name="_Toc176581199"/>
      <w:bookmarkEnd w:id="21"/>
      <w:bookmarkStart w:id="22" w:name="_Toc176438520"/>
      <w:bookmarkEnd w:id="22"/>
      <w:bookmarkStart w:id="23" w:name="_Toc176435847"/>
      <w:bookmarkEnd w:id="23"/>
      <w:bookmarkStart w:id="24" w:name="_Toc176435799"/>
      <w:bookmarkEnd w:id="24"/>
      <w:bookmarkStart w:id="25" w:name="_Toc176867400"/>
      <w:bookmarkEnd w:id="25"/>
      <w:bookmarkStart w:id="26" w:name="_Toc176581198"/>
      <w:bookmarkEnd w:id="26"/>
      <w:bookmarkStart w:id="27" w:name="_Toc176438519"/>
      <w:bookmarkEnd w:id="27"/>
      <w:bookmarkStart w:id="28" w:name="_Toc176435846"/>
      <w:bookmarkEnd w:id="28"/>
      <w:bookmarkStart w:id="29" w:name="_Toc176435798"/>
      <w:bookmarkEnd w:id="29"/>
      <w:bookmarkStart w:id="30" w:name="_Toc176867399"/>
      <w:bookmarkEnd w:id="30"/>
      <w:bookmarkStart w:id="31" w:name="_Toc176581197"/>
      <w:bookmarkEnd w:id="31"/>
      <w:bookmarkStart w:id="32" w:name="_Toc176438518"/>
      <w:bookmarkEnd w:id="32"/>
      <w:bookmarkStart w:id="33" w:name="_Toc176435845"/>
      <w:bookmarkEnd w:id="33"/>
      <w:bookmarkStart w:id="34" w:name="_Toc176435797"/>
      <w:bookmarkEnd w:id="34"/>
      <w:bookmarkStart w:id="35" w:name="_Toc176867398"/>
      <w:bookmarkEnd w:id="35"/>
      <w:bookmarkStart w:id="36" w:name="_Toc176438517"/>
      <w:bookmarkEnd w:id="36"/>
      <w:bookmarkStart w:id="37" w:name="_Toc176435844"/>
      <w:bookmarkEnd w:id="37"/>
      <w:bookmarkStart w:id="38" w:name="_Toc176581196"/>
      <w:bookmarkEnd w:id="38"/>
      <w:bookmarkStart w:id="39" w:name="_Toc176435796"/>
      <w:bookmarkEnd w:id="39"/>
      <w:bookmarkStart w:id="40" w:name="_Toc176581195"/>
      <w:bookmarkEnd w:id="40"/>
      <w:bookmarkStart w:id="41" w:name="_Toc176438516"/>
      <w:bookmarkEnd w:id="41"/>
      <w:bookmarkStart w:id="42" w:name="_Toc176435843"/>
      <w:bookmarkEnd w:id="42"/>
      <w:bookmarkStart w:id="43" w:name="_Toc176435795"/>
      <w:bookmarkEnd w:id="43"/>
      <w:bookmarkStart w:id="44" w:name="_Toc58830650"/>
      <w:r>
        <w:rPr>
          <w:rFonts w:ascii="宋体" w:hAnsi="宋体"/>
          <w:b/>
          <w:bCs/>
          <w:sz w:val="44"/>
          <w:szCs w:val="44"/>
        </w:rPr>
        <w:br w:type="page"/>
      </w:r>
    </w:p>
    <w:p>
      <w:pPr>
        <w:pStyle w:val="26"/>
        <w:rPr>
          <w:rFonts w:asciiTheme="minorHAnsi" w:hAnsiTheme="minorHAnsi" w:eastAsiaTheme="minorEastAsia" w:cstheme="minorBidi"/>
          <w:b w:val="0"/>
          <w:bCs w:val="0"/>
          <w:caps w:val="0"/>
          <w:sz w:val="21"/>
          <w:szCs w:val="22"/>
        </w:rPr>
      </w:pPr>
      <w:r>
        <w:rPr>
          <w:rFonts w:ascii="宋体" w:hAnsi="宋体"/>
          <w:b w:val="0"/>
          <w:bCs w:val="0"/>
          <w:kern w:val="44"/>
          <w:sz w:val="44"/>
          <w:szCs w:val="44"/>
        </w:rPr>
        <w:fldChar w:fldCharType="begin"/>
      </w:r>
      <w:r>
        <w:rPr>
          <w:rFonts w:ascii="宋体" w:hAnsi="宋体"/>
          <w:b w:val="0"/>
          <w:bCs w:val="0"/>
          <w:kern w:val="44"/>
          <w:sz w:val="44"/>
          <w:szCs w:val="44"/>
        </w:rPr>
        <w:instrText xml:space="preserve"> TOC \o "1-1" \h \z \u </w:instrText>
      </w:r>
      <w:r>
        <w:rPr>
          <w:rFonts w:ascii="宋体" w:hAnsi="宋体"/>
          <w:b w:val="0"/>
          <w:bCs w:val="0"/>
          <w:kern w:val="44"/>
          <w:sz w:val="44"/>
          <w:szCs w:val="44"/>
        </w:rPr>
        <w:fldChar w:fldCharType="separate"/>
      </w:r>
      <w:r>
        <w:rPr>
          <w:rStyle w:val="46"/>
        </w:rPr>
        <w:fldChar w:fldCharType="begin"/>
      </w:r>
      <w:r>
        <w:rPr>
          <w:rStyle w:val="46"/>
        </w:rPr>
        <w:instrText xml:space="preserve"> </w:instrText>
      </w:r>
      <w:r>
        <w:instrText xml:space="preserve">HYPERLINK \l "_Toc58858380"</w:instrText>
      </w:r>
      <w:r>
        <w:rPr>
          <w:rStyle w:val="46"/>
        </w:rPr>
        <w:instrText xml:space="preserve"> </w:instrText>
      </w:r>
      <w:r>
        <w:rPr>
          <w:rStyle w:val="46"/>
        </w:rPr>
        <w:fldChar w:fldCharType="separate"/>
      </w:r>
      <w:r>
        <w:rPr>
          <w:rStyle w:val="46"/>
          <w:rFonts w:hint="eastAsia" w:ascii="宋体" w:hAnsi="宋体"/>
        </w:rPr>
        <w:t>第1章</w:t>
      </w:r>
      <w:r>
        <w:rPr>
          <w:rFonts w:asciiTheme="minorHAnsi" w:hAnsiTheme="minorHAnsi" w:eastAsiaTheme="minorEastAsia" w:cstheme="minorBidi"/>
          <w:b w:val="0"/>
          <w:bCs w:val="0"/>
          <w:caps w:val="0"/>
          <w:sz w:val="21"/>
          <w:szCs w:val="22"/>
        </w:rPr>
        <w:tab/>
      </w:r>
      <w:r>
        <w:rPr>
          <w:rStyle w:val="46"/>
          <w:rFonts w:hint="eastAsia" w:ascii="宋体" w:hAnsi="宋体"/>
        </w:rPr>
        <w:t>建设目标</w:t>
      </w:r>
      <w:r>
        <w:tab/>
      </w:r>
      <w:r>
        <w:fldChar w:fldCharType="begin"/>
      </w:r>
      <w:r>
        <w:instrText xml:space="preserve"> PAGEREF _Toc58858380 \h </w:instrText>
      </w:r>
      <w:r>
        <w:fldChar w:fldCharType="separate"/>
      </w:r>
      <w:r>
        <w:t>1</w:t>
      </w:r>
      <w:r>
        <w:fldChar w:fldCharType="end"/>
      </w:r>
      <w:r>
        <w:rPr>
          <w:rStyle w:val="46"/>
        </w:rPr>
        <w:fldChar w:fldCharType="end"/>
      </w:r>
    </w:p>
    <w:p>
      <w:pPr>
        <w:pStyle w:val="26"/>
        <w:rPr>
          <w:rFonts w:asciiTheme="minorHAnsi" w:hAnsiTheme="minorHAnsi" w:eastAsiaTheme="minorEastAsia" w:cstheme="minorBidi"/>
          <w:b w:val="0"/>
          <w:bCs w:val="0"/>
          <w:caps w:val="0"/>
          <w:sz w:val="21"/>
          <w:szCs w:val="22"/>
        </w:rPr>
      </w:pPr>
      <w:r>
        <w:fldChar w:fldCharType="begin"/>
      </w:r>
      <w:r>
        <w:instrText xml:space="preserve"> HYPERLINK \l "_Toc58858381" </w:instrText>
      </w:r>
      <w:r>
        <w:fldChar w:fldCharType="separate"/>
      </w:r>
      <w:r>
        <w:rPr>
          <w:rStyle w:val="46"/>
          <w:rFonts w:hint="eastAsia" w:ascii="宋体" w:hAnsi="宋体"/>
        </w:rPr>
        <w:t>第2章</w:t>
      </w:r>
      <w:r>
        <w:rPr>
          <w:rFonts w:asciiTheme="minorHAnsi" w:hAnsiTheme="minorHAnsi" w:eastAsiaTheme="minorEastAsia" w:cstheme="minorBidi"/>
          <w:b w:val="0"/>
          <w:bCs w:val="0"/>
          <w:caps w:val="0"/>
          <w:sz w:val="21"/>
          <w:szCs w:val="22"/>
        </w:rPr>
        <w:tab/>
      </w:r>
      <w:r>
        <w:rPr>
          <w:rStyle w:val="46"/>
          <w:rFonts w:hint="eastAsia" w:ascii="宋体" w:hAnsi="宋体"/>
        </w:rPr>
        <w:t>设计原则</w:t>
      </w:r>
      <w:r>
        <w:tab/>
      </w:r>
      <w:r>
        <w:fldChar w:fldCharType="begin"/>
      </w:r>
      <w:r>
        <w:instrText xml:space="preserve"> PAGEREF _Toc58858381 \h </w:instrText>
      </w:r>
      <w:r>
        <w:fldChar w:fldCharType="separate"/>
      </w:r>
      <w:r>
        <w:t>2</w:t>
      </w:r>
      <w:r>
        <w:fldChar w:fldCharType="end"/>
      </w:r>
      <w:r>
        <w:fldChar w:fldCharType="end"/>
      </w:r>
    </w:p>
    <w:p>
      <w:pPr>
        <w:pStyle w:val="26"/>
        <w:rPr>
          <w:rFonts w:asciiTheme="minorHAnsi" w:hAnsiTheme="minorHAnsi" w:eastAsiaTheme="minorEastAsia" w:cstheme="minorBidi"/>
          <w:b w:val="0"/>
          <w:bCs w:val="0"/>
          <w:caps w:val="0"/>
          <w:sz w:val="21"/>
          <w:szCs w:val="22"/>
        </w:rPr>
      </w:pPr>
      <w:r>
        <w:fldChar w:fldCharType="begin"/>
      </w:r>
      <w:r>
        <w:instrText xml:space="preserve"> HYPERLINK \l "_Toc58858382" </w:instrText>
      </w:r>
      <w:r>
        <w:fldChar w:fldCharType="separate"/>
      </w:r>
      <w:r>
        <w:rPr>
          <w:rStyle w:val="46"/>
          <w:rFonts w:hint="eastAsia" w:ascii="宋体" w:hAnsi="宋体"/>
        </w:rPr>
        <w:t>第3章</w:t>
      </w:r>
      <w:r>
        <w:rPr>
          <w:rFonts w:asciiTheme="minorHAnsi" w:hAnsiTheme="minorHAnsi" w:eastAsiaTheme="minorEastAsia" w:cstheme="minorBidi"/>
          <w:b w:val="0"/>
          <w:bCs w:val="0"/>
          <w:caps w:val="0"/>
          <w:sz w:val="21"/>
          <w:szCs w:val="22"/>
        </w:rPr>
        <w:tab/>
      </w:r>
      <w:r>
        <w:rPr>
          <w:rStyle w:val="46"/>
          <w:rFonts w:hint="eastAsia" w:ascii="宋体" w:hAnsi="宋体"/>
        </w:rPr>
        <w:t>采购设备</w:t>
      </w:r>
      <w:r>
        <w:tab/>
      </w:r>
      <w:r>
        <w:fldChar w:fldCharType="begin"/>
      </w:r>
      <w:r>
        <w:instrText xml:space="preserve"> PAGEREF _Toc58858382 \h </w:instrText>
      </w:r>
      <w:r>
        <w:fldChar w:fldCharType="separate"/>
      </w:r>
      <w:r>
        <w:t>3</w:t>
      </w:r>
      <w:r>
        <w:fldChar w:fldCharType="end"/>
      </w:r>
      <w:r>
        <w:fldChar w:fldCharType="end"/>
      </w:r>
    </w:p>
    <w:p>
      <w:pPr>
        <w:pStyle w:val="26"/>
        <w:rPr>
          <w:rFonts w:asciiTheme="minorHAnsi" w:hAnsiTheme="minorHAnsi" w:eastAsiaTheme="minorEastAsia" w:cstheme="minorBidi"/>
          <w:b w:val="0"/>
          <w:bCs w:val="0"/>
          <w:caps w:val="0"/>
          <w:sz w:val="21"/>
          <w:szCs w:val="22"/>
        </w:rPr>
      </w:pPr>
      <w:r>
        <w:fldChar w:fldCharType="begin"/>
      </w:r>
      <w:r>
        <w:instrText xml:space="preserve"> HYPERLINK \l "_Toc58858383" </w:instrText>
      </w:r>
      <w:r>
        <w:fldChar w:fldCharType="separate"/>
      </w:r>
      <w:r>
        <w:rPr>
          <w:rStyle w:val="46"/>
          <w:rFonts w:hint="eastAsia" w:ascii="宋体" w:hAnsi="宋体"/>
        </w:rPr>
        <w:t>第4章</w:t>
      </w:r>
      <w:r>
        <w:rPr>
          <w:rFonts w:asciiTheme="minorHAnsi" w:hAnsiTheme="minorHAnsi" w:eastAsiaTheme="minorEastAsia" w:cstheme="minorBidi"/>
          <w:b w:val="0"/>
          <w:bCs w:val="0"/>
          <w:caps w:val="0"/>
          <w:sz w:val="21"/>
          <w:szCs w:val="22"/>
        </w:rPr>
        <w:tab/>
      </w:r>
      <w:r>
        <w:rPr>
          <w:rStyle w:val="46"/>
          <w:rFonts w:hint="eastAsia" w:ascii="宋体" w:hAnsi="宋体"/>
        </w:rPr>
        <w:t>设计方案</w:t>
      </w:r>
      <w:r>
        <w:tab/>
      </w:r>
      <w:r>
        <w:fldChar w:fldCharType="begin"/>
      </w:r>
      <w:r>
        <w:instrText xml:space="preserve"> PAGEREF _Toc58858383 \h </w:instrText>
      </w:r>
      <w:r>
        <w:fldChar w:fldCharType="separate"/>
      </w:r>
      <w:r>
        <w:t>4</w:t>
      </w:r>
      <w:r>
        <w:fldChar w:fldCharType="end"/>
      </w:r>
      <w:r>
        <w:fldChar w:fldCharType="end"/>
      </w:r>
    </w:p>
    <w:p>
      <w:pPr>
        <w:pStyle w:val="26"/>
        <w:rPr>
          <w:rFonts w:asciiTheme="minorHAnsi" w:hAnsiTheme="minorHAnsi" w:eastAsiaTheme="minorEastAsia" w:cstheme="minorBidi"/>
          <w:b w:val="0"/>
          <w:bCs w:val="0"/>
          <w:caps w:val="0"/>
          <w:sz w:val="21"/>
          <w:szCs w:val="22"/>
        </w:rPr>
      </w:pPr>
      <w:r>
        <w:fldChar w:fldCharType="begin"/>
      </w:r>
      <w:r>
        <w:instrText xml:space="preserve"> HYPERLINK \l "_Toc58858384" </w:instrText>
      </w:r>
      <w:r>
        <w:fldChar w:fldCharType="separate"/>
      </w:r>
      <w:r>
        <w:rPr>
          <w:rStyle w:val="46"/>
          <w:rFonts w:hint="eastAsia" w:ascii="宋体" w:hAnsi="宋体"/>
        </w:rPr>
        <w:t>第5章</w:t>
      </w:r>
      <w:r>
        <w:rPr>
          <w:rFonts w:asciiTheme="minorHAnsi" w:hAnsiTheme="minorHAnsi" w:eastAsiaTheme="minorEastAsia" w:cstheme="minorBidi"/>
          <w:b w:val="0"/>
          <w:bCs w:val="0"/>
          <w:caps w:val="0"/>
          <w:sz w:val="21"/>
          <w:szCs w:val="22"/>
        </w:rPr>
        <w:tab/>
      </w:r>
      <w:r>
        <w:rPr>
          <w:rStyle w:val="46"/>
          <w:rFonts w:hint="eastAsia" w:ascii="宋体" w:hAnsi="宋体"/>
        </w:rPr>
        <w:t>设备参数</w:t>
      </w:r>
      <w:r>
        <w:tab/>
      </w:r>
      <w:r>
        <w:fldChar w:fldCharType="begin"/>
      </w:r>
      <w:r>
        <w:instrText xml:space="preserve"> PAGEREF _Toc58858384 \h </w:instrText>
      </w:r>
      <w:r>
        <w:fldChar w:fldCharType="separate"/>
      </w:r>
      <w:r>
        <w:t>5</w:t>
      </w:r>
      <w:r>
        <w:fldChar w:fldCharType="end"/>
      </w:r>
      <w:r>
        <w:fldChar w:fldCharType="end"/>
      </w:r>
    </w:p>
    <w:p>
      <w:pPr>
        <w:pStyle w:val="26"/>
        <w:rPr>
          <w:rFonts w:asciiTheme="minorHAnsi" w:hAnsiTheme="minorHAnsi" w:eastAsiaTheme="minorEastAsia" w:cstheme="minorBidi"/>
          <w:b w:val="0"/>
          <w:bCs w:val="0"/>
          <w:caps w:val="0"/>
          <w:sz w:val="21"/>
          <w:szCs w:val="22"/>
        </w:rPr>
      </w:pPr>
      <w:r>
        <w:fldChar w:fldCharType="begin"/>
      </w:r>
      <w:r>
        <w:instrText xml:space="preserve"> HYPERLINK \l "_Toc58858385" </w:instrText>
      </w:r>
      <w:r>
        <w:fldChar w:fldCharType="separate"/>
      </w:r>
      <w:r>
        <w:rPr>
          <w:rStyle w:val="46"/>
          <w:rFonts w:hint="eastAsia" w:ascii="宋体" w:hAnsi="宋体"/>
        </w:rPr>
        <w:t>第6章</w:t>
      </w:r>
      <w:r>
        <w:rPr>
          <w:rFonts w:asciiTheme="minorHAnsi" w:hAnsiTheme="minorHAnsi" w:eastAsiaTheme="minorEastAsia" w:cstheme="minorBidi"/>
          <w:b w:val="0"/>
          <w:bCs w:val="0"/>
          <w:caps w:val="0"/>
          <w:sz w:val="21"/>
          <w:szCs w:val="22"/>
        </w:rPr>
        <w:tab/>
      </w:r>
      <w:r>
        <w:rPr>
          <w:rStyle w:val="46"/>
          <w:rFonts w:hint="eastAsia" w:ascii="宋体" w:hAnsi="宋体"/>
        </w:rPr>
        <w:t>服务要求</w:t>
      </w:r>
      <w:r>
        <w:tab/>
      </w:r>
      <w:r>
        <w:fldChar w:fldCharType="begin"/>
      </w:r>
      <w:r>
        <w:instrText xml:space="preserve"> PAGEREF _Toc58858385 \h </w:instrText>
      </w:r>
      <w:r>
        <w:fldChar w:fldCharType="separate"/>
      </w:r>
      <w:r>
        <w:t>7</w:t>
      </w:r>
      <w:r>
        <w:fldChar w:fldCharType="end"/>
      </w:r>
      <w:r>
        <w:fldChar w:fldCharType="end"/>
      </w:r>
    </w:p>
    <w:p>
      <w:pPr>
        <w:pStyle w:val="26"/>
        <w:rPr>
          <w:rFonts w:asciiTheme="minorHAnsi" w:hAnsiTheme="minorHAnsi" w:eastAsiaTheme="minorEastAsia" w:cstheme="minorBidi"/>
          <w:b w:val="0"/>
          <w:bCs w:val="0"/>
          <w:caps w:val="0"/>
          <w:sz w:val="21"/>
          <w:szCs w:val="22"/>
        </w:rPr>
      </w:pPr>
      <w:r>
        <w:fldChar w:fldCharType="begin"/>
      </w:r>
      <w:r>
        <w:instrText xml:space="preserve"> HYPERLINK \l "_Toc58858386" </w:instrText>
      </w:r>
      <w:r>
        <w:fldChar w:fldCharType="separate"/>
      </w:r>
      <w:r>
        <w:rPr>
          <w:rStyle w:val="46"/>
          <w:rFonts w:hint="eastAsia" w:ascii="宋体" w:hAnsi="宋体"/>
        </w:rPr>
        <w:t>第7章</w:t>
      </w:r>
      <w:r>
        <w:rPr>
          <w:rFonts w:asciiTheme="minorHAnsi" w:hAnsiTheme="minorHAnsi" w:eastAsiaTheme="minorEastAsia" w:cstheme="minorBidi"/>
          <w:b w:val="0"/>
          <w:bCs w:val="0"/>
          <w:caps w:val="0"/>
          <w:sz w:val="21"/>
          <w:szCs w:val="22"/>
        </w:rPr>
        <w:tab/>
      </w:r>
      <w:r>
        <w:rPr>
          <w:rStyle w:val="46"/>
          <w:rFonts w:hint="eastAsia" w:ascii="宋体" w:hAnsi="宋体"/>
        </w:rPr>
        <w:t>项目实施要求</w:t>
      </w:r>
      <w:r>
        <w:tab/>
      </w:r>
      <w:r>
        <w:fldChar w:fldCharType="begin"/>
      </w:r>
      <w:r>
        <w:instrText xml:space="preserve"> PAGEREF _Toc58858386 \h </w:instrText>
      </w:r>
      <w:r>
        <w:fldChar w:fldCharType="separate"/>
      </w:r>
      <w:r>
        <w:t>8</w:t>
      </w:r>
      <w:r>
        <w:fldChar w:fldCharType="end"/>
      </w:r>
      <w:r>
        <w:fldChar w:fldCharType="end"/>
      </w:r>
    </w:p>
    <w:p>
      <w:pPr>
        <w:pStyle w:val="26"/>
        <w:rPr>
          <w:rFonts w:asciiTheme="minorHAnsi" w:hAnsiTheme="minorHAnsi" w:eastAsiaTheme="minorEastAsia" w:cstheme="minorBidi"/>
          <w:b w:val="0"/>
          <w:bCs w:val="0"/>
          <w:caps w:val="0"/>
          <w:sz w:val="21"/>
          <w:szCs w:val="22"/>
        </w:rPr>
      </w:pPr>
      <w:r>
        <w:fldChar w:fldCharType="begin"/>
      </w:r>
      <w:r>
        <w:instrText xml:space="preserve"> HYPERLINK \l "_Toc58858387" </w:instrText>
      </w:r>
      <w:r>
        <w:fldChar w:fldCharType="separate"/>
      </w:r>
      <w:r>
        <w:rPr>
          <w:rStyle w:val="46"/>
          <w:rFonts w:hint="eastAsia"/>
        </w:rPr>
        <w:t>第8章</w:t>
      </w:r>
      <w:r>
        <w:rPr>
          <w:rFonts w:asciiTheme="minorHAnsi" w:hAnsiTheme="minorHAnsi" w:eastAsiaTheme="minorEastAsia" w:cstheme="minorBidi"/>
          <w:b w:val="0"/>
          <w:bCs w:val="0"/>
          <w:caps w:val="0"/>
          <w:sz w:val="21"/>
          <w:szCs w:val="22"/>
        </w:rPr>
        <w:tab/>
      </w:r>
      <w:r>
        <w:rPr>
          <w:rStyle w:val="46"/>
          <w:rFonts w:hint="eastAsia"/>
        </w:rPr>
        <w:t>安装验收与要求</w:t>
      </w:r>
      <w:r>
        <w:tab/>
      </w:r>
      <w:r>
        <w:fldChar w:fldCharType="begin"/>
      </w:r>
      <w:r>
        <w:instrText xml:space="preserve"> PAGEREF _Toc58858387 \h </w:instrText>
      </w:r>
      <w:r>
        <w:fldChar w:fldCharType="separate"/>
      </w:r>
      <w:r>
        <w:t>8</w:t>
      </w:r>
      <w:r>
        <w:fldChar w:fldCharType="end"/>
      </w:r>
      <w:r>
        <w:fldChar w:fldCharType="end"/>
      </w:r>
    </w:p>
    <w:p>
      <w:pPr>
        <w:pStyle w:val="26"/>
        <w:rPr>
          <w:rFonts w:asciiTheme="minorHAnsi" w:hAnsiTheme="minorHAnsi" w:eastAsiaTheme="minorEastAsia" w:cstheme="minorBidi"/>
          <w:b w:val="0"/>
          <w:bCs w:val="0"/>
          <w:caps w:val="0"/>
          <w:sz w:val="21"/>
          <w:szCs w:val="22"/>
        </w:rPr>
      </w:pPr>
      <w:r>
        <w:fldChar w:fldCharType="begin"/>
      </w:r>
      <w:r>
        <w:instrText xml:space="preserve"> HYPERLINK \l "_Toc58858388" </w:instrText>
      </w:r>
      <w:r>
        <w:fldChar w:fldCharType="separate"/>
      </w:r>
      <w:r>
        <w:rPr>
          <w:rStyle w:val="46"/>
          <w:rFonts w:hint="eastAsia"/>
        </w:rPr>
        <w:t>第9章</w:t>
      </w:r>
      <w:r>
        <w:rPr>
          <w:rFonts w:asciiTheme="minorHAnsi" w:hAnsiTheme="minorHAnsi" w:eastAsiaTheme="minorEastAsia" w:cstheme="minorBidi"/>
          <w:b w:val="0"/>
          <w:bCs w:val="0"/>
          <w:caps w:val="0"/>
          <w:sz w:val="21"/>
          <w:szCs w:val="22"/>
        </w:rPr>
        <w:tab/>
      </w:r>
      <w:r>
        <w:rPr>
          <w:rStyle w:val="46"/>
          <w:rFonts w:hint="eastAsia"/>
        </w:rPr>
        <w:t>保修期</w:t>
      </w:r>
      <w:r>
        <w:tab/>
      </w:r>
      <w:r>
        <w:fldChar w:fldCharType="begin"/>
      </w:r>
      <w:r>
        <w:instrText xml:space="preserve"> PAGEREF _Toc58858388 \h </w:instrText>
      </w:r>
      <w:r>
        <w:fldChar w:fldCharType="separate"/>
      </w:r>
      <w:r>
        <w:t>9</w:t>
      </w:r>
      <w:r>
        <w:fldChar w:fldCharType="end"/>
      </w:r>
      <w:r>
        <w:fldChar w:fldCharType="end"/>
      </w:r>
    </w:p>
    <w:p>
      <w:pPr>
        <w:widowControl/>
        <w:jc w:val="left"/>
        <w:rPr>
          <w:rFonts w:ascii="宋体" w:hAnsi="宋体"/>
          <w:b/>
          <w:bCs/>
          <w:kern w:val="44"/>
          <w:sz w:val="44"/>
          <w:szCs w:val="44"/>
        </w:rPr>
      </w:pPr>
      <w:r>
        <w:rPr>
          <w:rFonts w:ascii="宋体" w:hAnsi="宋体"/>
          <w:b/>
          <w:bCs/>
          <w:kern w:val="44"/>
          <w:sz w:val="44"/>
          <w:szCs w:val="44"/>
        </w:rPr>
        <w:fldChar w:fldCharType="end"/>
      </w:r>
    </w:p>
    <w:p>
      <w:pPr>
        <w:rPr>
          <w:rFonts w:ascii="宋体" w:hAnsi="宋体"/>
          <w:sz w:val="44"/>
          <w:szCs w:val="44"/>
        </w:rPr>
      </w:pPr>
    </w:p>
    <w:p>
      <w:pPr>
        <w:rPr>
          <w:rFonts w:ascii="宋体" w:hAnsi="宋体"/>
          <w:sz w:val="44"/>
          <w:szCs w:val="44"/>
        </w:rPr>
      </w:pPr>
    </w:p>
    <w:p>
      <w:pPr>
        <w:rPr>
          <w:rFonts w:ascii="宋体" w:hAnsi="宋体"/>
          <w:sz w:val="44"/>
          <w:szCs w:val="44"/>
        </w:rPr>
      </w:pPr>
    </w:p>
    <w:p>
      <w:pPr>
        <w:rPr>
          <w:rFonts w:ascii="宋体" w:hAnsi="宋体"/>
          <w:sz w:val="44"/>
          <w:szCs w:val="44"/>
        </w:rPr>
        <w:sectPr>
          <w:footerReference r:id="rId3" w:type="default"/>
          <w:pgSz w:w="11906" w:h="16838"/>
          <w:pgMar w:top="1440" w:right="1800" w:bottom="1440" w:left="1800" w:header="851" w:footer="992" w:gutter="0"/>
          <w:pgNumType w:start="1"/>
          <w:cols w:space="425" w:num="1"/>
          <w:docGrid w:type="lines" w:linePitch="312" w:charSpace="0"/>
        </w:sectPr>
      </w:pPr>
    </w:p>
    <w:p>
      <w:pPr>
        <w:pStyle w:val="2"/>
        <w:pageBreakBefore/>
        <w:tabs>
          <w:tab w:val="left" w:pos="1080"/>
        </w:tabs>
        <w:spacing w:beforeLines="0"/>
        <w:ind w:left="862" w:hanging="431"/>
        <w:contextualSpacing/>
        <w:rPr>
          <w:rFonts w:ascii="宋体" w:hAnsi="宋体"/>
          <w:b/>
          <w:bCs/>
          <w:sz w:val="44"/>
          <w:szCs w:val="44"/>
        </w:rPr>
      </w:pPr>
      <w:bookmarkStart w:id="45" w:name="_Toc58830773"/>
      <w:bookmarkStart w:id="46" w:name="_Toc58858380"/>
      <w:r>
        <w:rPr>
          <w:rFonts w:hint="eastAsia" w:ascii="宋体" w:hAnsi="宋体"/>
          <w:b/>
          <w:bCs/>
          <w:sz w:val="44"/>
          <w:szCs w:val="44"/>
        </w:rPr>
        <w:t>建设目标</w:t>
      </w:r>
      <w:bookmarkEnd w:id="44"/>
      <w:bookmarkEnd w:id="45"/>
      <w:bookmarkEnd w:id="46"/>
    </w:p>
    <w:p>
      <w:pPr>
        <w:spacing w:line="360" w:lineRule="auto"/>
        <w:ind w:firstLine="420"/>
        <w:contextualSpacing/>
        <w:rPr>
          <w:rFonts w:ascii="宋体" w:hAnsi="宋体"/>
          <w:sz w:val="24"/>
        </w:rPr>
      </w:pPr>
      <w:r>
        <w:rPr>
          <w:rFonts w:hint="eastAsia" w:ascii="宋体" w:hAnsi="宋体"/>
          <w:sz w:val="24"/>
        </w:rPr>
        <w:t>通过本次湛江中心人民医院计算机网络的整体的升级改造，可达到以下几方面的目标：</w:t>
      </w:r>
    </w:p>
    <w:p>
      <w:pPr>
        <w:numPr>
          <w:ilvl w:val="0"/>
          <w:numId w:val="6"/>
        </w:numPr>
        <w:spacing w:line="360" w:lineRule="auto"/>
        <w:contextualSpacing/>
        <w:rPr>
          <w:rFonts w:ascii="宋体" w:hAnsi="宋体"/>
          <w:sz w:val="24"/>
        </w:rPr>
      </w:pPr>
      <w:r>
        <w:rPr>
          <w:rFonts w:hint="eastAsia" w:ascii="宋体" w:hAnsi="宋体"/>
          <w:sz w:val="24"/>
        </w:rPr>
        <w:t>在数据</w:t>
      </w:r>
      <w:r>
        <w:rPr>
          <w:rFonts w:ascii="宋体" w:hAnsi="宋体"/>
          <w:sz w:val="24"/>
        </w:rPr>
        <w:t>中心主机房</w:t>
      </w:r>
      <w:r>
        <w:rPr>
          <w:rFonts w:hint="eastAsia" w:ascii="宋体" w:hAnsi="宋体"/>
          <w:sz w:val="24"/>
        </w:rPr>
        <w:t>扩展</w:t>
      </w:r>
      <w:r>
        <w:rPr>
          <w:rFonts w:ascii="宋体" w:hAnsi="宋体"/>
          <w:sz w:val="24"/>
        </w:rPr>
        <w:t>原</w:t>
      </w:r>
      <w:r>
        <w:rPr>
          <w:rFonts w:hint="eastAsia" w:ascii="宋体" w:hAnsi="宋体"/>
          <w:sz w:val="24"/>
        </w:rPr>
        <w:t>核心</w:t>
      </w:r>
      <w:r>
        <w:rPr>
          <w:rFonts w:ascii="宋体" w:hAnsi="宋体"/>
          <w:sz w:val="24"/>
        </w:rPr>
        <w:t>交换机上的业务</w:t>
      </w:r>
      <w:r>
        <w:rPr>
          <w:rFonts w:hint="eastAsia" w:ascii="宋体" w:hAnsi="宋体"/>
          <w:sz w:val="24"/>
        </w:rPr>
        <w:t>板卡</w:t>
      </w:r>
      <w:r>
        <w:rPr>
          <w:rFonts w:ascii="宋体" w:hAnsi="宋体"/>
          <w:sz w:val="24"/>
        </w:rPr>
        <w:t>，</w:t>
      </w:r>
      <w:r>
        <w:rPr>
          <w:rFonts w:hint="eastAsia" w:ascii="宋体" w:hAnsi="宋体"/>
          <w:sz w:val="24"/>
        </w:rPr>
        <w:t>增加</w:t>
      </w:r>
      <w:r>
        <w:rPr>
          <w:rFonts w:ascii="宋体" w:hAnsi="宋体"/>
          <w:sz w:val="24"/>
        </w:rPr>
        <w:t>业务接入能力</w:t>
      </w:r>
      <w:r>
        <w:rPr>
          <w:rFonts w:hint="eastAsia" w:ascii="宋体" w:hAnsi="宋体"/>
          <w:sz w:val="24"/>
        </w:rPr>
        <w:t>。</w:t>
      </w:r>
    </w:p>
    <w:p>
      <w:pPr>
        <w:numPr>
          <w:ilvl w:val="0"/>
          <w:numId w:val="6"/>
        </w:numPr>
        <w:spacing w:line="360" w:lineRule="auto"/>
        <w:contextualSpacing/>
        <w:rPr>
          <w:rFonts w:ascii="宋体" w:hAnsi="宋体"/>
          <w:sz w:val="24"/>
        </w:rPr>
      </w:pPr>
      <w:r>
        <w:rPr>
          <w:rFonts w:hint="eastAsia" w:ascii="宋体" w:hAnsi="宋体"/>
          <w:sz w:val="24"/>
        </w:rPr>
        <w:t>增加</w:t>
      </w:r>
      <w:r>
        <w:rPr>
          <w:rFonts w:ascii="宋体" w:hAnsi="宋体"/>
          <w:sz w:val="24"/>
        </w:rPr>
        <w:t>汇聚层交换机，使</w:t>
      </w:r>
      <w:r>
        <w:rPr>
          <w:rFonts w:hint="eastAsia" w:ascii="宋体" w:hAnsi="宋体"/>
          <w:sz w:val="24"/>
        </w:rPr>
        <w:t>核心负载</w:t>
      </w:r>
      <w:r>
        <w:rPr>
          <w:rFonts w:ascii="宋体" w:hAnsi="宋体"/>
          <w:sz w:val="24"/>
        </w:rPr>
        <w:t>减轻，</w:t>
      </w:r>
      <w:r>
        <w:rPr>
          <w:rFonts w:hint="eastAsia" w:ascii="宋体" w:hAnsi="宋体"/>
          <w:sz w:val="24"/>
        </w:rPr>
        <w:t>链路</w:t>
      </w:r>
      <w:r>
        <w:rPr>
          <w:rFonts w:ascii="宋体" w:hAnsi="宋体"/>
          <w:sz w:val="24"/>
        </w:rPr>
        <w:t>连接更加清新，以便管理</w:t>
      </w:r>
      <w:r>
        <w:rPr>
          <w:rFonts w:hint="eastAsia" w:ascii="宋体" w:hAnsi="宋体"/>
          <w:sz w:val="24"/>
        </w:rPr>
        <w:t>运维。</w:t>
      </w:r>
    </w:p>
    <w:p>
      <w:pPr>
        <w:numPr>
          <w:ilvl w:val="0"/>
          <w:numId w:val="6"/>
        </w:numPr>
        <w:spacing w:line="360" w:lineRule="auto"/>
        <w:contextualSpacing/>
        <w:rPr>
          <w:rFonts w:ascii="宋体" w:hAnsi="宋体"/>
          <w:sz w:val="24"/>
        </w:rPr>
      </w:pPr>
      <w:r>
        <w:rPr>
          <w:rFonts w:hint="eastAsia" w:ascii="宋体" w:hAnsi="宋体"/>
          <w:sz w:val="24"/>
        </w:rPr>
        <w:t>增加接入层</w:t>
      </w:r>
      <w:r>
        <w:rPr>
          <w:rFonts w:ascii="宋体" w:hAnsi="宋体"/>
          <w:sz w:val="24"/>
        </w:rPr>
        <w:t>交换机，为终端提供接入平台</w:t>
      </w:r>
      <w:r>
        <w:rPr>
          <w:rFonts w:hint="eastAsia" w:ascii="宋体" w:hAnsi="宋体"/>
          <w:sz w:val="24"/>
        </w:rPr>
        <w:t>。</w:t>
      </w:r>
    </w:p>
    <w:p>
      <w:pPr>
        <w:numPr>
          <w:ilvl w:val="0"/>
          <w:numId w:val="6"/>
        </w:numPr>
        <w:spacing w:line="360" w:lineRule="auto"/>
        <w:contextualSpacing/>
        <w:rPr>
          <w:rFonts w:ascii="宋体" w:hAnsi="宋体"/>
          <w:sz w:val="24"/>
        </w:rPr>
      </w:pPr>
      <w:r>
        <w:rPr>
          <w:rFonts w:hint="eastAsia" w:ascii="宋体" w:hAnsi="宋体"/>
          <w:sz w:val="24"/>
        </w:rPr>
        <w:t>提升整体速度与稳定性，使整体网络不再成为院内信息化建设的瓶颈。</w:t>
      </w:r>
    </w:p>
    <w:p/>
    <w:p>
      <w:pPr>
        <w:pStyle w:val="2"/>
        <w:pageBreakBefore/>
        <w:tabs>
          <w:tab w:val="left" w:pos="1080"/>
        </w:tabs>
        <w:spacing w:beforeLines="0"/>
        <w:ind w:left="862" w:hanging="431"/>
        <w:contextualSpacing/>
        <w:rPr>
          <w:rFonts w:ascii="宋体" w:hAnsi="宋体"/>
          <w:b/>
          <w:bCs/>
          <w:sz w:val="44"/>
          <w:szCs w:val="44"/>
        </w:rPr>
      </w:pPr>
      <w:bookmarkStart w:id="47" w:name="_Toc58830774"/>
      <w:bookmarkStart w:id="48" w:name="_Toc58830651"/>
      <w:bookmarkStart w:id="49" w:name="_Toc288684020"/>
      <w:bookmarkStart w:id="50" w:name="_Toc58858381"/>
      <w:bookmarkStart w:id="51" w:name="_Toc191182900"/>
      <w:r>
        <w:rPr>
          <w:rFonts w:hint="eastAsia" w:ascii="宋体" w:hAnsi="宋体"/>
          <w:b/>
          <w:bCs/>
          <w:sz w:val="44"/>
          <w:szCs w:val="44"/>
        </w:rPr>
        <w:t>设计原则</w:t>
      </w:r>
      <w:bookmarkEnd w:id="47"/>
      <w:bookmarkEnd w:id="48"/>
      <w:bookmarkEnd w:id="49"/>
      <w:bookmarkEnd w:id="50"/>
    </w:p>
    <w:bookmarkEnd w:id="51"/>
    <w:p>
      <w:pPr>
        <w:pStyle w:val="121"/>
        <w:spacing w:line="360" w:lineRule="auto"/>
        <w:rPr>
          <w:rFonts w:ascii="宋体" w:hAnsi="宋体"/>
          <w:szCs w:val="24"/>
        </w:rPr>
      </w:pPr>
      <w:r>
        <w:rPr>
          <w:rFonts w:hint="eastAsia" w:ascii="宋体" w:hAnsi="宋体"/>
          <w:szCs w:val="24"/>
        </w:rPr>
        <w:t>根据湛江中心</w:t>
      </w:r>
      <w:r>
        <w:rPr>
          <w:rFonts w:ascii="宋体" w:hAnsi="宋体"/>
          <w:szCs w:val="24"/>
        </w:rPr>
        <w:t>人民医院</w:t>
      </w:r>
      <w:r>
        <w:rPr>
          <w:rFonts w:hint="eastAsia" w:ascii="宋体" w:hAnsi="宋体"/>
          <w:szCs w:val="24"/>
        </w:rPr>
        <w:t>的实际情况，充分利用现有软硬件资源、网络资源，建立高性能、低成本的网络系统，</w:t>
      </w:r>
      <w:r>
        <w:rPr>
          <w:rFonts w:ascii="宋体" w:hAnsi="宋体"/>
          <w:szCs w:val="24"/>
        </w:rPr>
        <w:t>网络</w:t>
      </w:r>
      <w:r>
        <w:rPr>
          <w:rFonts w:hint="eastAsia" w:ascii="宋体" w:hAnsi="宋体"/>
          <w:szCs w:val="24"/>
        </w:rPr>
        <w:t>系统的建设原则应包括：</w:t>
      </w:r>
    </w:p>
    <w:p>
      <w:pPr>
        <w:spacing w:line="360" w:lineRule="auto"/>
        <w:ind w:left="94" w:leftChars="45"/>
        <w:rPr>
          <w:rFonts w:asciiTheme="minorEastAsia" w:hAnsiTheme="minorEastAsia"/>
          <w:sz w:val="24"/>
        </w:rPr>
      </w:pPr>
      <w:r>
        <w:rPr>
          <w:rFonts w:hint="eastAsia" w:asciiTheme="minorEastAsia" w:hAnsiTheme="minorEastAsia"/>
          <w:b/>
          <w:sz w:val="24"/>
        </w:rPr>
        <w:t>稳定性原则</w:t>
      </w:r>
      <w:r>
        <w:rPr>
          <w:rFonts w:hint="eastAsia" w:asciiTheme="minorEastAsia" w:hAnsiTheme="minorEastAsia"/>
          <w:sz w:val="24"/>
        </w:rPr>
        <w:t>：考虑到日后其他业务系统发展的需要，产品选型必须具有高可靠的稳定性。</w:t>
      </w:r>
    </w:p>
    <w:p>
      <w:pPr>
        <w:spacing w:line="360" w:lineRule="auto"/>
        <w:ind w:left="94" w:leftChars="45"/>
        <w:rPr>
          <w:rFonts w:asciiTheme="minorEastAsia" w:hAnsiTheme="minorEastAsia"/>
          <w:sz w:val="24"/>
        </w:rPr>
      </w:pPr>
      <w:r>
        <w:rPr>
          <w:rFonts w:hint="eastAsia" w:asciiTheme="minorEastAsia" w:hAnsiTheme="minorEastAsia"/>
          <w:b/>
          <w:sz w:val="24"/>
        </w:rPr>
        <w:t>兼容性原则</w:t>
      </w:r>
      <w:r>
        <w:rPr>
          <w:rFonts w:hint="eastAsia" w:asciiTheme="minorEastAsia" w:hAnsiTheme="minorEastAsia"/>
          <w:sz w:val="24"/>
        </w:rPr>
        <w:t>：由于系统是现有网络基础上进行建设，因此在实施时要充分考虑到与现网的关系，不但要合理规划，还要保证设备的兼容。</w:t>
      </w:r>
    </w:p>
    <w:p>
      <w:pPr>
        <w:spacing w:line="360" w:lineRule="auto"/>
        <w:ind w:left="94" w:leftChars="45"/>
        <w:rPr>
          <w:rFonts w:asciiTheme="minorEastAsia" w:hAnsiTheme="minorEastAsia"/>
          <w:sz w:val="24"/>
        </w:rPr>
      </w:pPr>
      <w:r>
        <w:rPr>
          <w:rFonts w:hint="eastAsia" w:asciiTheme="minorEastAsia" w:hAnsiTheme="minorEastAsia"/>
          <w:b/>
          <w:sz w:val="24"/>
        </w:rPr>
        <w:t>实用性原则</w:t>
      </w:r>
      <w:r>
        <w:rPr>
          <w:rFonts w:hint="eastAsia" w:asciiTheme="minorEastAsia" w:hAnsiTheme="minorEastAsia"/>
          <w:sz w:val="24"/>
        </w:rPr>
        <w:t>：本系统建设应以现行需求为基础，充分考虑未来发展的需求来确定系统规模。</w:t>
      </w:r>
    </w:p>
    <w:p>
      <w:pPr>
        <w:spacing w:line="360" w:lineRule="auto"/>
        <w:ind w:left="1928" w:hanging="1928" w:hangingChars="800"/>
        <w:rPr>
          <w:rFonts w:asciiTheme="minorEastAsia" w:hAnsiTheme="minorEastAsia"/>
          <w:sz w:val="24"/>
        </w:rPr>
      </w:pPr>
      <w:r>
        <w:rPr>
          <w:rFonts w:hint="eastAsia" w:asciiTheme="minorEastAsia" w:hAnsiTheme="minorEastAsia"/>
          <w:b/>
          <w:sz w:val="24"/>
        </w:rPr>
        <w:t>成熟和先进性原则</w:t>
      </w:r>
      <w:r>
        <w:rPr>
          <w:rFonts w:hint="eastAsia" w:asciiTheme="minorEastAsia" w:hAnsiTheme="minorEastAsia"/>
          <w:sz w:val="24"/>
        </w:rPr>
        <w:t>：系统结构设计、系统配置、系统管理方式等方面采用国际</w:t>
      </w:r>
    </w:p>
    <w:p>
      <w:pPr>
        <w:spacing w:line="360" w:lineRule="auto"/>
        <w:ind w:left="1920" w:hanging="1920" w:hangingChars="800"/>
        <w:rPr>
          <w:rFonts w:asciiTheme="minorEastAsia" w:hAnsiTheme="minorEastAsia"/>
          <w:sz w:val="24"/>
        </w:rPr>
      </w:pPr>
      <w:r>
        <w:rPr>
          <w:rFonts w:hint="eastAsia" w:asciiTheme="minorEastAsia" w:hAnsiTheme="minorEastAsia"/>
          <w:sz w:val="24"/>
        </w:rPr>
        <w:t>上先进同时又是成熟、实用的技术。设备厂商和投标商应有相关领域的丰富经验。</w:t>
      </w:r>
    </w:p>
    <w:p>
      <w:pPr>
        <w:spacing w:line="360" w:lineRule="auto"/>
        <w:rPr>
          <w:rFonts w:asciiTheme="minorEastAsia" w:hAnsiTheme="minorEastAsia"/>
          <w:sz w:val="24"/>
        </w:rPr>
      </w:pPr>
      <w:r>
        <w:rPr>
          <w:rFonts w:hint="eastAsia" w:asciiTheme="minorEastAsia" w:hAnsiTheme="minorEastAsia"/>
          <w:sz w:val="24"/>
        </w:rPr>
        <w:t>规范性原则：系统设计所采用的技术和设备应符合国际标准、国家标准和业界标准，为系统的扩展升级、与其他系统的互联提供良好的基础。</w:t>
      </w:r>
    </w:p>
    <w:p>
      <w:pPr>
        <w:pStyle w:val="2"/>
        <w:pageBreakBefore/>
        <w:tabs>
          <w:tab w:val="left" w:pos="1080"/>
        </w:tabs>
        <w:spacing w:beforeLines="0"/>
        <w:ind w:left="862" w:hanging="431"/>
        <w:contextualSpacing/>
        <w:rPr>
          <w:rFonts w:ascii="宋体" w:hAnsi="宋体"/>
          <w:b/>
          <w:bCs/>
          <w:sz w:val="44"/>
          <w:szCs w:val="44"/>
        </w:rPr>
      </w:pPr>
      <w:bookmarkStart w:id="52" w:name="_Toc58858382"/>
      <w:r>
        <w:rPr>
          <w:rFonts w:hint="eastAsia" w:ascii="宋体" w:hAnsi="宋体"/>
          <w:b/>
          <w:bCs/>
          <w:sz w:val="44"/>
          <w:szCs w:val="44"/>
        </w:rPr>
        <w:t>设备</w:t>
      </w:r>
      <w:bookmarkEnd w:id="52"/>
      <w:r>
        <w:rPr>
          <w:rFonts w:hint="eastAsia" w:ascii="宋体" w:hAnsi="宋体"/>
          <w:b/>
          <w:bCs/>
          <w:sz w:val="44"/>
          <w:szCs w:val="44"/>
        </w:rPr>
        <w:t>清单</w:t>
      </w:r>
    </w:p>
    <w:p/>
    <w:tbl>
      <w:tblPr>
        <w:tblStyle w:val="41"/>
        <w:tblW w:w="92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8"/>
        <w:gridCol w:w="2552"/>
        <w:gridCol w:w="1701"/>
        <w:gridCol w:w="850"/>
        <w:gridCol w:w="709"/>
        <w:gridCol w:w="1290"/>
        <w:gridCol w:w="1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588"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序号</w:t>
            </w:r>
          </w:p>
        </w:tc>
        <w:tc>
          <w:tcPr>
            <w:tcW w:w="2552"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名称</w:t>
            </w:r>
          </w:p>
        </w:tc>
        <w:tc>
          <w:tcPr>
            <w:tcW w:w="1701" w:type="dxa"/>
            <w:shd w:val="clear" w:color="000000" w:fill="FFFFFF"/>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参数</w:t>
            </w:r>
            <w:r>
              <w:rPr>
                <w:rFonts w:asciiTheme="minorEastAsia" w:hAnsiTheme="minorEastAsia" w:eastAsiaTheme="minorEastAsia"/>
                <w:sz w:val="24"/>
              </w:rPr>
              <w:t>要求</w:t>
            </w:r>
          </w:p>
        </w:tc>
        <w:tc>
          <w:tcPr>
            <w:tcW w:w="850"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数量</w:t>
            </w:r>
          </w:p>
        </w:tc>
        <w:tc>
          <w:tcPr>
            <w:tcW w:w="709"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单位</w:t>
            </w:r>
          </w:p>
        </w:tc>
        <w:tc>
          <w:tcPr>
            <w:tcW w:w="1290"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预算单价（</w:t>
            </w:r>
            <w:r>
              <w:rPr>
                <w:rFonts w:asciiTheme="minorEastAsia" w:hAnsiTheme="minorEastAsia" w:eastAsiaTheme="minorEastAsia"/>
                <w:sz w:val="24"/>
              </w:rPr>
              <w:t>元）</w:t>
            </w:r>
          </w:p>
        </w:tc>
        <w:tc>
          <w:tcPr>
            <w:tcW w:w="1578"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预算总价（</w:t>
            </w:r>
            <w:r>
              <w:rPr>
                <w:rFonts w:asciiTheme="minorEastAsia" w:hAnsiTheme="minorEastAsia" w:eastAsiaTheme="minorEastAsia"/>
                <w:sz w:val="24"/>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588"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1</w:t>
            </w:r>
          </w:p>
        </w:tc>
        <w:tc>
          <w:tcPr>
            <w:tcW w:w="2552"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48口千兆电口板卡</w:t>
            </w:r>
          </w:p>
        </w:tc>
        <w:tc>
          <w:tcPr>
            <w:tcW w:w="1701" w:type="dxa"/>
            <w:shd w:val="clear" w:color="000000" w:fill="FFFFFF"/>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cstheme="minorBidi"/>
                <w:sz w:val="24"/>
              </w:rPr>
              <w:t>详见设备</w:t>
            </w:r>
            <w:r>
              <w:rPr>
                <w:rFonts w:asciiTheme="minorEastAsia" w:hAnsiTheme="minorEastAsia" w:eastAsiaTheme="minorEastAsia" w:cstheme="minorBidi"/>
                <w:sz w:val="24"/>
              </w:rPr>
              <w:t>参数</w:t>
            </w:r>
          </w:p>
        </w:tc>
        <w:tc>
          <w:tcPr>
            <w:tcW w:w="850" w:type="dxa"/>
            <w:vAlign w:val="center"/>
          </w:tcPr>
          <w:p>
            <w:pPr>
              <w:jc w:val="center"/>
              <w:rPr>
                <w:rFonts w:asciiTheme="minorEastAsia" w:hAnsiTheme="minorEastAsia" w:eastAsiaTheme="minorEastAsia"/>
                <w:sz w:val="24"/>
              </w:rPr>
            </w:pPr>
            <w:r>
              <w:rPr>
                <w:rFonts w:asciiTheme="minorEastAsia" w:hAnsiTheme="minorEastAsia" w:eastAsiaTheme="minorEastAsia"/>
                <w:sz w:val="24"/>
              </w:rPr>
              <w:t>2</w:t>
            </w:r>
          </w:p>
        </w:tc>
        <w:tc>
          <w:tcPr>
            <w:tcW w:w="709"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块</w:t>
            </w:r>
          </w:p>
        </w:tc>
        <w:tc>
          <w:tcPr>
            <w:tcW w:w="1290" w:type="dxa"/>
            <w:vAlign w:val="center"/>
          </w:tcPr>
          <w:p>
            <w:pPr>
              <w:jc w:val="center"/>
              <w:rPr>
                <w:rFonts w:asciiTheme="minorEastAsia" w:hAnsiTheme="minorEastAsia" w:eastAsiaTheme="minorEastAsia"/>
                <w:sz w:val="24"/>
              </w:rPr>
            </w:pPr>
            <w:r>
              <w:rPr>
                <w:rFonts w:asciiTheme="minorEastAsia" w:hAnsiTheme="minorEastAsia" w:eastAsiaTheme="minorEastAsia" w:cstheme="minorBidi"/>
                <w:sz w:val="24"/>
              </w:rPr>
              <w:t>24275</w:t>
            </w:r>
            <w:r>
              <w:rPr>
                <w:rFonts w:hint="eastAsia" w:asciiTheme="minorEastAsia" w:hAnsiTheme="minorEastAsia" w:eastAsiaTheme="minorEastAsia" w:cstheme="minorBidi"/>
                <w:sz w:val="24"/>
              </w:rPr>
              <w:t>.00</w:t>
            </w:r>
          </w:p>
        </w:tc>
        <w:tc>
          <w:tcPr>
            <w:tcW w:w="1578" w:type="dxa"/>
            <w:vAlign w:val="center"/>
          </w:tcPr>
          <w:p>
            <w:pPr>
              <w:jc w:val="center"/>
              <w:rPr>
                <w:rFonts w:asciiTheme="minorEastAsia" w:hAnsiTheme="minorEastAsia" w:eastAsiaTheme="minorEastAsia"/>
                <w:sz w:val="24"/>
              </w:rPr>
            </w:pPr>
            <w:r>
              <w:rPr>
                <w:rFonts w:asciiTheme="minorEastAsia" w:hAnsiTheme="minorEastAsia" w:eastAsiaTheme="minorEastAsia" w:cstheme="minorBidi"/>
                <w:sz w:val="24"/>
              </w:rPr>
              <w:t>48550</w:t>
            </w:r>
            <w:r>
              <w:rPr>
                <w:rFonts w:hint="eastAsia" w:asciiTheme="minorEastAsia" w:hAnsiTheme="minorEastAsia" w:eastAsiaTheme="minorEastAsia" w:cstheme="minorBidi"/>
                <w:sz w:val="24"/>
              </w:rPr>
              <w:t>.00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588"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2</w:t>
            </w:r>
          </w:p>
        </w:tc>
        <w:tc>
          <w:tcPr>
            <w:tcW w:w="2552"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新增汇聚交换机</w:t>
            </w:r>
          </w:p>
        </w:tc>
        <w:tc>
          <w:tcPr>
            <w:tcW w:w="1701" w:type="dxa"/>
            <w:shd w:val="clear" w:color="000000" w:fill="FFFFFF"/>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cstheme="minorBidi"/>
                <w:sz w:val="24"/>
              </w:rPr>
              <w:t>详见设备</w:t>
            </w:r>
            <w:r>
              <w:rPr>
                <w:rFonts w:asciiTheme="minorEastAsia" w:hAnsiTheme="minorEastAsia" w:eastAsiaTheme="minorEastAsia" w:cstheme="minorBidi"/>
                <w:sz w:val="24"/>
              </w:rPr>
              <w:t>参数</w:t>
            </w:r>
          </w:p>
        </w:tc>
        <w:tc>
          <w:tcPr>
            <w:tcW w:w="850" w:type="dxa"/>
            <w:vAlign w:val="center"/>
          </w:tcPr>
          <w:p>
            <w:pPr>
              <w:jc w:val="center"/>
              <w:rPr>
                <w:rFonts w:asciiTheme="minorEastAsia" w:hAnsiTheme="minorEastAsia" w:eastAsiaTheme="minorEastAsia"/>
                <w:sz w:val="24"/>
              </w:rPr>
            </w:pPr>
            <w:r>
              <w:rPr>
                <w:rFonts w:asciiTheme="minorEastAsia" w:hAnsiTheme="minorEastAsia" w:eastAsiaTheme="minorEastAsia"/>
                <w:sz w:val="24"/>
              </w:rPr>
              <w:t>2</w:t>
            </w:r>
          </w:p>
        </w:tc>
        <w:tc>
          <w:tcPr>
            <w:tcW w:w="709" w:type="dxa"/>
            <w:shd w:val="clear" w:color="auto" w:fill="auto"/>
            <w:tcMar>
              <w:left w:w="28" w:type="dxa"/>
              <w:right w:w="28" w:type="dxa"/>
            </w:tcMar>
          </w:tcPr>
          <w:p>
            <w:pPr>
              <w:jc w:val="center"/>
              <w:rPr>
                <w:rFonts w:asciiTheme="minorEastAsia" w:hAnsiTheme="minorEastAsia" w:eastAsiaTheme="minorEastAsia"/>
                <w:sz w:val="24"/>
              </w:rPr>
            </w:pPr>
            <w:r>
              <w:rPr>
                <w:rFonts w:hint="eastAsia" w:asciiTheme="minorEastAsia" w:hAnsiTheme="minorEastAsia" w:eastAsiaTheme="minorEastAsia"/>
                <w:sz w:val="24"/>
              </w:rPr>
              <w:t>台</w:t>
            </w:r>
          </w:p>
        </w:tc>
        <w:tc>
          <w:tcPr>
            <w:tcW w:w="1290" w:type="dxa"/>
          </w:tcPr>
          <w:p>
            <w:pPr>
              <w:jc w:val="center"/>
              <w:rPr>
                <w:rFonts w:asciiTheme="minorEastAsia" w:hAnsiTheme="minorEastAsia" w:eastAsiaTheme="minorEastAsia"/>
                <w:sz w:val="24"/>
              </w:rPr>
            </w:pPr>
            <w:r>
              <w:rPr>
                <w:rFonts w:asciiTheme="minorEastAsia" w:hAnsiTheme="minorEastAsia" w:eastAsiaTheme="minorEastAsia"/>
                <w:sz w:val="24"/>
              </w:rPr>
              <w:t>40900.00</w:t>
            </w:r>
          </w:p>
        </w:tc>
        <w:tc>
          <w:tcPr>
            <w:tcW w:w="1578" w:type="dxa"/>
          </w:tcPr>
          <w:p>
            <w:pPr>
              <w:jc w:val="center"/>
              <w:rPr>
                <w:rFonts w:asciiTheme="minorEastAsia" w:hAnsiTheme="minorEastAsia" w:eastAsiaTheme="minorEastAsia"/>
                <w:sz w:val="24"/>
              </w:rPr>
            </w:pPr>
            <w:r>
              <w:rPr>
                <w:rFonts w:asciiTheme="minorEastAsia" w:hAnsiTheme="minorEastAsia" w:eastAsiaTheme="minorEastAsia"/>
                <w:sz w:val="24"/>
              </w:rPr>
              <w:t>81800.00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588"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3</w:t>
            </w:r>
          </w:p>
        </w:tc>
        <w:tc>
          <w:tcPr>
            <w:tcW w:w="2552"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新</w:t>
            </w:r>
            <w:r>
              <w:rPr>
                <w:rFonts w:asciiTheme="minorEastAsia" w:hAnsiTheme="minorEastAsia" w:eastAsiaTheme="minorEastAsia"/>
                <w:sz w:val="24"/>
              </w:rPr>
              <w:t>增</w:t>
            </w:r>
            <w:r>
              <w:rPr>
                <w:rFonts w:hint="eastAsia" w:asciiTheme="minorEastAsia" w:hAnsiTheme="minorEastAsia" w:eastAsiaTheme="minorEastAsia"/>
                <w:sz w:val="24"/>
              </w:rPr>
              <w:t>接入</w:t>
            </w:r>
            <w:r>
              <w:rPr>
                <w:rFonts w:asciiTheme="minorEastAsia" w:hAnsiTheme="minorEastAsia" w:eastAsiaTheme="minorEastAsia"/>
                <w:sz w:val="24"/>
              </w:rPr>
              <w:t>交换机</w:t>
            </w:r>
          </w:p>
        </w:tc>
        <w:tc>
          <w:tcPr>
            <w:tcW w:w="1701" w:type="dxa"/>
            <w:shd w:val="clear" w:color="000000" w:fill="FFFFFF"/>
            <w:tcMar>
              <w:left w:w="28" w:type="dxa"/>
              <w:right w:w="28" w:type="dxa"/>
            </w:tcMar>
            <w:vAlign w:val="center"/>
          </w:tcPr>
          <w:p>
            <w:pPr>
              <w:jc w:val="center"/>
              <w:rPr>
                <w:rFonts w:asciiTheme="minorEastAsia" w:hAnsiTheme="minorEastAsia" w:eastAsiaTheme="minorEastAsia" w:cstheme="minorBidi"/>
                <w:sz w:val="24"/>
              </w:rPr>
            </w:pPr>
            <w:r>
              <w:rPr>
                <w:rFonts w:hint="eastAsia" w:asciiTheme="minorEastAsia" w:hAnsiTheme="minorEastAsia" w:eastAsiaTheme="minorEastAsia" w:cstheme="minorBidi"/>
                <w:sz w:val="24"/>
              </w:rPr>
              <w:t>详见</w:t>
            </w:r>
            <w:r>
              <w:rPr>
                <w:rFonts w:asciiTheme="minorEastAsia" w:hAnsiTheme="minorEastAsia" w:eastAsiaTheme="minorEastAsia" w:cstheme="minorBidi"/>
                <w:sz w:val="24"/>
              </w:rPr>
              <w:t>设备参数</w:t>
            </w:r>
          </w:p>
        </w:tc>
        <w:tc>
          <w:tcPr>
            <w:tcW w:w="850"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2</w:t>
            </w:r>
          </w:p>
        </w:tc>
        <w:tc>
          <w:tcPr>
            <w:tcW w:w="709" w:type="dxa"/>
            <w:shd w:val="clear" w:color="auto" w:fill="auto"/>
            <w:tcMar>
              <w:left w:w="28" w:type="dxa"/>
              <w:right w:w="28" w:type="dxa"/>
            </w:tcMar>
          </w:tcPr>
          <w:p>
            <w:pPr>
              <w:jc w:val="center"/>
              <w:rPr>
                <w:rFonts w:asciiTheme="minorEastAsia" w:hAnsiTheme="minorEastAsia" w:eastAsiaTheme="minorEastAsia"/>
                <w:sz w:val="24"/>
              </w:rPr>
            </w:pPr>
            <w:r>
              <w:rPr>
                <w:rFonts w:hint="eastAsia" w:asciiTheme="minorEastAsia" w:hAnsiTheme="minorEastAsia" w:eastAsiaTheme="minorEastAsia"/>
                <w:sz w:val="24"/>
              </w:rPr>
              <w:t>台</w:t>
            </w:r>
          </w:p>
        </w:tc>
        <w:tc>
          <w:tcPr>
            <w:tcW w:w="1290" w:type="dxa"/>
          </w:tcPr>
          <w:p>
            <w:pPr>
              <w:jc w:val="center"/>
              <w:rPr>
                <w:rFonts w:asciiTheme="minorEastAsia" w:hAnsiTheme="minorEastAsia" w:eastAsiaTheme="minorEastAsia"/>
                <w:sz w:val="24"/>
              </w:rPr>
            </w:pPr>
            <w:r>
              <w:rPr>
                <w:rFonts w:asciiTheme="minorEastAsia" w:hAnsiTheme="minorEastAsia" w:eastAsiaTheme="minorEastAsia"/>
                <w:sz w:val="24"/>
              </w:rPr>
              <w:t>2500.00</w:t>
            </w:r>
          </w:p>
        </w:tc>
        <w:tc>
          <w:tcPr>
            <w:tcW w:w="1578" w:type="dxa"/>
          </w:tcPr>
          <w:p>
            <w:pPr>
              <w:jc w:val="center"/>
              <w:rPr>
                <w:rFonts w:asciiTheme="minorEastAsia" w:hAnsiTheme="minorEastAsia" w:eastAsiaTheme="minorEastAsia"/>
                <w:sz w:val="24"/>
              </w:rPr>
            </w:pPr>
            <w:r>
              <w:rPr>
                <w:rFonts w:asciiTheme="minorEastAsia" w:hAnsiTheme="minorEastAsia" w:eastAsiaTheme="minorEastAsia"/>
                <w:sz w:val="24"/>
              </w:rPr>
              <w:t>5000.00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588"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4</w:t>
            </w:r>
          </w:p>
        </w:tc>
        <w:tc>
          <w:tcPr>
            <w:tcW w:w="2552"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万兆多模光模块</w:t>
            </w:r>
          </w:p>
        </w:tc>
        <w:tc>
          <w:tcPr>
            <w:tcW w:w="1701" w:type="dxa"/>
            <w:shd w:val="clear" w:color="000000" w:fill="FFFFFF"/>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cstheme="minorBidi"/>
                <w:sz w:val="24"/>
              </w:rPr>
              <w:t>详见设备</w:t>
            </w:r>
            <w:r>
              <w:rPr>
                <w:rFonts w:asciiTheme="minorEastAsia" w:hAnsiTheme="minorEastAsia" w:eastAsiaTheme="minorEastAsia" w:cstheme="minorBidi"/>
                <w:sz w:val="24"/>
              </w:rPr>
              <w:t>参数</w:t>
            </w:r>
          </w:p>
        </w:tc>
        <w:tc>
          <w:tcPr>
            <w:tcW w:w="850" w:type="dxa"/>
            <w:vAlign w:val="center"/>
          </w:tcPr>
          <w:p>
            <w:pPr>
              <w:jc w:val="center"/>
              <w:rPr>
                <w:rFonts w:asciiTheme="minorEastAsia" w:hAnsiTheme="minorEastAsia" w:eastAsiaTheme="minorEastAsia"/>
                <w:sz w:val="24"/>
              </w:rPr>
            </w:pPr>
            <w:r>
              <w:rPr>
                <w:rFonts w:asciiTheme="minorEastAsia" w:hAnsiTheme="minorEastAsia" w:eastAsiaTheme="minorEastAsia"/>
                <w:sz w:val="24"/>
              </w:rPr>
              <w:t>15</w:t>
            </w:r>
          </w:p>
        </w:tc>
        <w:tc>
          <w:tcPr>
            <w:tcW w:w="709" w:type="dxa"/>
            <w:shd w:val="clear" w:color="auto" w:fill="auto"/>
            <w:tcMar>
              <w:left w:w="28" w:type="dxa"/>
              <w:right w:w="28" w:type="dxa"/>
            </w:tcMar>
          </w:tcPr>
          <w:p>
            <w:pPr>
              <w:jc w:val="center"/>
              <w:rPr>
                <w:rFonts w:asciiTheme="minorEastAsia" w:hAnsiTheme="minorEastAsia" w:eastAsiaTheme="minorEastAsia"/>
                <w:sz w:val="24"/>
              </w:rPr>
            </w:pPr>
            <w:r>
              <w:rPr>
                <w:rFonts w:hint="eastAsia" w:asciiTheme="minorEastAsia" w:hAnsiTheme="minorEastAsia" w:eastAsiaTheme="minorEastAsia"/>
                <w:sz w:val="24"/>
              </w:rPr>
              <w:t>块</w:t>
            </w:r>
          </w:p>
        </w:tc>
        <w:tc>
          <w:tcPr>
            <w:tcW w:w="1290" w:type="dxa"/>
          </w:tcPr>
          <w:p>
            <w:pPr>
              <w:jc w:val="center"/>
              <w:rPr>
                <w:rFonts w:asciiTheme="minorEastAsia" w:hAnsiTheme="minorEastAsia" w:eastAsiaTheme="minorEastAsia"/>
                <w:sz w:val="24"/>
              </w:rPr>
            </w:pPr>
            <w:r>
              <w:rPr>
                <w:rFonts w:asciiTheme="minorEastAsia" w:hAnsiTheme="minorEastAsia" w:eastAsiaTheme="minorEastAsia"/>
                <w:sz w:val="24"/>
              </w:rPr>
              <w:t>1950.00</w:t>
            </w:r>
          </w:p>
        </w:tc>
        <w:tc>
          <w:tcPr>
            <w:tcW w:w="1578" w:type="dxa"/>
          </w:tcPr>
          <w:p>
            <w:pPr>
              <w:jc w:val="center"/>
              <w:rPr>
                <w:rFonts w:asciiTheme="minorEastAsia" w:hAnsiTheme="minorEastAsia" w:eastAsiaTheme="minorEastAsia"/>
                <w:sz w:val="24"/>
              </w:rPr>
            </w:pPr>
            <w:r>
              <w:rPr>
                <w:rFonts w:asciiTheme="minorEastAsia" w:hAnsiTheme="minorEastAsia" w:eastAsiaTheme="minorEastAsia"/>
                <w:sz w:val="24"/>
              </w:rPr>
              <w:t>29250.00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588"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5</w:t>
            </w:r>
          </w:p>
        </w:tc>
        <w:tc>
          <w:tcPr>
            <w:tcW w:w="2552" w:type="dxa"/>
            <w:shd w:val="clear" w:color="auto" w:fill="auto"/>
            <w:tcMar>
              <w:left w:w="28" w:type="dxa"/>
              <w:right w:w="28" w:type="dxa"/>
            </w:tcMar>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万兆单模光模块</w:t>
            </w:r>
          </w:p>
        </w:tc>
        <w:tc>
          <w:tcPr>
            <w:tcW w:w="1701" w:type="dxa"/>
            <w:shd w:val="clear" w:color="000000" w:fill="FFFFFF"/>
            <w:tcMar>
              <w:left w:w="28" w:type="dxa"/>
              <w:right w:w="28" w:type="dxa"/>
            </w:tcMar>
            <w:vAlign w:val="center"/>
          </w:tcPr>
          <w:p>
            <w:pPr>
              <w:jc w:val="center"/>
              <w:rPr>
                <w:rFonts w:asciiTheme="minorEastAsia" w:hAnsiTheme="minorEastAsia" w:eastAsiaTheme="minorEastAsia" w:cstheme="minorBidi"/>
                <w:sz w:val="24"/>
              </w:rPr>
            </w:pPr>
            <w:r>
              <w:rPr>
                <w:rFonts w:hint="eastAsia" w:asciiTheme="minorEastAsia" w:hAnsiTheme="minorEastAsia" w:eastAsiaTheme="minorEastAsia" w:cstheme="minorBidi"/>
                <w:sz w:val="24"/>
              </w:rPr>
              <w:t>详见设备</w:t>
            </w:r>
            <w:r>
              <w:rPr>
                <w:rFonts w:asciiTheme="minorEastAsia" w:hAnsiTheme="minorEastAsia" w:eastAsiaTheme="minorEastAsia" w:cstheme="minorBidi"/>
                <w:sz w:val="24"/>
              </w:rPr>
              <w:t>参数</w:t>
            </w:r>
          </w:p>
        </w:tc>
        <w:tc>
          <w:tcPr>
            <w:tcW w:w="850" w:type="dxa"/>
            <w:vAlign w:val="center"/>
          </w:tcPr>
          <w:p>
            <w:pPr>
              <w:jc w:val="center"/>
              <w:rPr>
                <w:rFonts w:asciiTheme="minorEastAsia" w:hAnsiTheme="minorEastAsia" w:eastAsiaTheme="minorEastAsia"/>
                <w:sz w:val="24"/>
              </w:rPr>
            </w:pPr>
            <w:r>
              <w:rPr>
                <w:rFonts w:hint="eastAsia" w:asciiTheme="minorEastAsia" w:hAnsiTheme="minorEastAsia" w:eastAsiaTheme="minorEastAsia"/>
                <w:sz w:val="24"/>
              </w:rPr>
              <w:t>8</w:t>
            </w:r>
          </w:p>
        </w:tc>
        <w:tc>
          <w:tcPr>
            <w:tcW w:w="709" w:type="dxa"/>
            <w:shd w:val="clear" w:color="auto" w:fill="auto"/>
            <w:tcMar>
              <w:left w:w="28" w:type="dxa"/>
              <w:right w:w="28" w:type="dxa"/>
            </w:tcMar>
          </w:tcPr>
          <w:p>
            <w:pPr>
              <w:jc w:val="center"/>
              <w:rPr>
                <w:rFonts w:asciiTheme="minorEastAsia" w:hAnsiTheme="minorEastAsia" w:eastAsiaTheme="minorEastAsia"/>
                <w:sz w:val="24"/>
              </w:rPr>
            </w:pPr>
            <w:r>
              <w:rPr>
                <w:rFonts w:hint="eastAsia" w:asciiTheme="minorEastAsia" w:hAnsiTheme="minorEastAsia" w:eastAsiaTheme="minorEastAsia"/>
                <w:sz w:val="24"/>
              </w:rPr>
              <w:t>块</w:t>
            </w:r>
          </w:p>
        </w:tc>
        <w:tc>
          <w:tcPr>
            <w:tcW w:w="1290" w:type="dxa"/>
          </w:tcPr>
          <w:p>
            <w:pPr>
              <w:jc w:val="center"/>
              <w:rPr>
                <w:rFonts w:asciiTheme="minorEastAsia" w:hAnsiTheme="minorEastAsia" w:eastAsiaTheme="minorEastAsia"/>
                <w:sz w:val="24"/>
              </w:rPr>
            </w:pPr>
            <w:r>
              <w:rPr>
                <w:rFonts w:asciiTheme="minorEastAsia" w:hAnsiTheme="minorEastAsia" w:eastAsiaTheme="minorEastAsia"/>
                <w:sz w:val="24"/>
              </w:rPr>
              <w:t>3800.00</w:t>
            </w:r>
          </w:p>
        </w:tc>
        <w:tc>
          <w:tcPr>
            <w:tcW w:w="1578" w:type="dxa"/>
          </w:tcPr>
          <w:p>
            <w:pPr>
              <w:jc w:val="center"/>
              <w:rPr>
                <w:rFonts w:asciiTheme="minorEastAsia" w:hAnsiTheme="minorEastAsia" w:eastAsiaTheme="minorEastAsia"/>
                <w:sz w:val="24"/>
              </w:rPr>
            </w:pPr>
            <w:r>
              <w:rPr>
                <w:rFonts w:asciiTheme="minorEastAsia" w:hAnsiTheme="minorEastAsia" w:eastAsiaTheme="minorEastAsia"/>
                <w:sz w:val="24"/>
              </w:rPr>
              <w:t>30400.00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588" w:type="dxa"/>
            <w:shd w:val="clear" w:color="auto" w:fill="auto"/>
            <w:tcMar>
              <w:left w:w="28" w:type="dxa"/>
              <w:right w:w="28" w:type="dxa"/>
            </w:tcMar>
            <w:vAlign w:val="center"/>
          </w:tcPr>
          <w:p>
            <w:pPr>
              <w:jc w:val="center"/>
              <w:rPr>
                <w:rFonts w:hint="eastAsia" w:asciiTheme="minorEastAsia" w:hAnsiTheme="minorEastAsia" w:eastAsiaTheme="minorEastAsia"/>
                <w:sz w:val="24"/>
              </w:rPr>
            </w:pPr>
          </w:p>
        </w:tc>
        <w:tc>
          <w:tcPr>
            <w:tcW w:w="2552" w:type="dxa"/>
            <w:shd w:val="clear" w:color="auto" w:fill="auto"/>
            <w:tcMar>
              <w:left w:w="28" w:type="dxa"/>
              <w:right w:w="28" w:type="dxa"/>
            </w:tcMar>
            <w:vAlign w:val="center"/>
          </w:tcPr>
          <w:p>
            <w:pPr>
              <w:jc w:val="center"/>
              <w:rPr>
                <w:rFonts w:hint="eastAsia" w:asciiTheme="minorEastAsia" w:hAnsiTheme="minorEastAsia" w:eastAsiaTheme="minorEastAsia"/>
                <w:sz w:val="24"/>
              </w:rPr>
            </w:pPr>
            <w:r>
              <w:rPr>
                <w:rFonts w:hint="eastAsia" w:asciiTheme="minorEastAsia" w:hAnsiTheme="minorEastAsia" w:eastAsiaTheme="minorEastAsia"/>
                <w:sz w:val="24"/>
              </w:rPr>
              <w:t>合  计：</w:t>
            </w:r>
          </w:p>
        </w:tc>
        <w:tc>
          <w:tcPr>
            <w:tcW w:w="1701" w:type="dxa"/>
            <w:shd w:val="clear" w:color="000000" w:fill="FFFFFF"/>
            <w:tcMar>
              <w:left w:w="28" w:type="dxa"/>
              <w:right w:w="28" w:type="dxa"/>
            </w:tcMar>
            <w:vAlign w:val="center"/>
          </w:tcPr>
          <w:p>
            <w:pPr>
              <w:jc w:val="center"/>
              <w:rPr>
                <w:rFonts w:hint="eastAsia" w:asciiTheme="minorEastAsia" w:hAnsiTheme="minorEastAsia" w:eastAsiaTheme="minorEastAsia" w:cstheme="minorBidi"/>
                <w:sz w:val="24"/>
              </w:rPr>
            </w:pPr>
          </w:p>
        </w:tc>
        <w:tc>
          <w:tcPr>
            <w:tcW w:w="850" w:type="dxa"/>
            <w:vAlign w:val="center"/>
          </w:tcPr>
          <w:p>
            <w:pPr>
              <w:jc w:val="center"/>
              <w:rPr>
                <w:rFonts w:hint="eastAsia" w:asciiTheme="minorEastAsia" w:hAnsiTheme="minorEastAsia" w:eastAsiaTheme="minorEastAsia"/>
                <w:sz w:val="24"/>
              </w:rPr>
            </w:pPr>
          </w:p>
        </w:tc>
        <w:tc>
          <w:tcPr>
            <w:tcW w:w="709" w:type="dxa"/>
            <w:shd w:val="clear" w:color="auto" w:fill="auto"/>
            <w:tcMar>
              <w:left w:w="28" w:type="dxa"/>
              <w:right w:w="28" w:type="dxa"/>
            </w:tcMar>
          </w:tcPr>
          <w:p>
            <w:pPr>
              <w:jc w:val="center"/>
              <w:rPr>
                <w:rFonts w:hint="eastAsia" w:asciiTheme="minorEastAsia" w:hAnsiTheme="minorEastAsia" w:eastAsiaTheme="minorEastAsia"/>
                <w:sz w:val="24"/>
              </w:rPr>
            </w:pPr>
          </w:p>
        </w:tc>
        <w:tc>
          <w:tcPr>
            <w:tcW w:w="1290" w:type="dxa"/>
          </w:tcPr>
          <w:p>
            <w:pPr>
              <w:jc w:val="center"/>
              <w:rPr>
                <w:rFonts w:asciiTheme="minorEastAsia" w:hAnsiTheme="minorEastAsia" w:eastAsiaTheme="minorEastAsia"/>
                <w:sz w:val="24"/>
              </w:rPr>
            </w:pPr>
          </w:p>
        </w:tc>
        <w:tc>
          <w:tcPr>
            <w:tcW w:w="1578" w:type="dxa"/>
          </w:tcPr>
          <w:p>
            <w:pPr>
              <w:jc w:val="center"/>
              <w:rPr>
                <w:rFonts w:asciiTheme="minorEastAsia" w:hAnsiTheme="minorEastAsia" w:eastAsiaTheme="minorEastAsia"/>
                <w:sz w:val="24"/>
              </w:rPr>
            </w:pPr>
            <w:r>
              <w:rPr>
                <w:rFonts w:hint="eastAsia" w:asciiTheme="minorEastAsia" w:hAnsiTheme="minorEastAsia" w:eastAsiaTheme="minorEastAsia"/>
                <w:sz w:val="24"/>
              </w:rPr>
              <w:t>195000,00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588" w:type="dxa"/>
            <w:shd w:val="clear" w:color="auto" w:fill="auto"/>
            <w:tcMar>
              <w:left w:w="28" w:type="dxa"/>
              <w:right w:w="28" w:type="dxa"/>
            </w:tcMar>
            <w:vAlign w:val="center"/>
          </w:tcPr>
          <w:p>
            <w:pPr>
              <w:jc w:val="center"/>
              <w:rPr>
                <w:rFonts w:hint="eastAsia" w:asciiTheme="minorEastAsia" w:hAnsiTheme="minorEastAsia" w:eastAsiaTheme="minorEastAsia"/>
                <w:sz w:val="24"/>
              </w:rPr>
            </w:pPr>
          </w:p>
        </w:tc>
        <w:tc>
          <w:tcPr>
            <w:tcW w:w="8680" w:type="dxa"/>
            <w:gridSpan w:val="6"/>
            <w:shd w:val="clear" w:color="auto" w:fill="auto"/>
            <w:tcMar>
              <w:left w:w="28" w:type="dxa"/>
              <w:right w:w="28" w:type="dxa"/>
            </w:tcMar>
            <w:vAlign w:val="center"/>
          </w:tcPr>
          <w:p>
            <w:pPr>
              <w:jc w:val="left"/>
              <w:rPr>
                <w:rFonts w:hint="eastAsia" w:asciiTheme="minorEastAsia" w:hAnsiTheme="minorEastAsia" w:eastAsiaTheme="minorEastAsia"/>
                <w:sz w:val="24"/>
              </w:rPr>
            </w:pPr>
            <w:r>
              <w:rPr>
                <w:rFonts w:hint="eastAsia" w:asciiTheme="minorEastAsia" w:hAnsiTheme="minorEastAsia" w:eastAsiaTheme="minorEastAsia"/>
                <w:sz w:val="24"/>
              </w:rPr>
              <w:t>大写：壹拾玖万伍仟元整</w:t>
            </w:r>
          </w:p>
        </w:tc>
      </w:tr>
    </w:tbl>
    <w:p>
      <w:pPr>
        <w:widowControl/>
        <w:spacing w:before="100" w:beforeAutospacing="1" w:after="100" w:afterAutospacing="1" w:line="360" w:lineRule="auto"/>
        <w:jc w:val="left"/>
        <w:rPr>
          <w:szCs w:val="21"/>
        </w:rPr>
      </w:pPr>
    </w:p>
    <w:p>
      <w:pPr>
        <w:widowControl/>
        <w:spacing w:before="100" w:beforeAutospacing="1" w:after="100" w:afterAutospacing="1" w:line="360" w:lineRule="auto"/>
        <w:jc w:val="left"/>
        <w:rPr>
          <w:szCs w:val="21"/>
        </w:rPr>
      </w:pPr>
    </w:p>
    <w:p/>
    <w:p/>
    <w:p>
      <w:pPr>
        <w:tabs>
          <w:tab w:val="left" w:pos="5790"/>
        </w:tabs>
      </w:pPr>
      <w:r>
        <w:tab/>
      </w:r>
    </w:p>
    <w:p>
      <w:pPr>
        <w:pStyle w:val="2"/>
        <w:pageBreakBefore/>
        <w:tabs>
          <w:tab w:val="left" w:pos="1080"/>
        </w:tabs>
        <w:spacing w:beforeLines="0"/>
        <w:ind w:left="862" w:hanging="431"/>
        <w:contextualSpacing/>
        <w:rPr>
          <w:rFonts w:ascii="宋体" w:hAnsi="宋体"/>
          <w:b/>
          <w:bCs/>
          <w:sz w:val="44"/>
          <w:szCs w:val="44"/>
        </w:rPr>
      </w:pPr>
      <w:bookmarkStart w:id="53" w:name="_Toc58858383"/>
      <w:bookmarkStart w:id="54" w:name="_Toc58830776"/>
      <w:bookmarkStart w:id="55" w:name="_Toc58830653"/>
      <w:bookmarkStart w:id="56" w:name="_Toc6925848"/>
      <w:r>
        <w:rPr>
          <w:rFonts w:hint="eastAsia" w:ascii="宋体" w:hAnsi="宋体"/>
          <w:b/>
          <w:bCs/>
          <w:sz w:val="44"/>
          <w:szCs w:val="44"/>
        </w:rPr>
        <w:t>设计方案</w:t>
      </w:r>
      <w:bookmarkEnd w:id="53"/>
      <w:bookmarkEnd w:id="54"/>
      <w:bookmarkEnd w:id="55"/>
      <w:bookmarkEnd w:id="56"/>
    </w:p>
    <w:p>
      <w:pPr>
        <w:ind w:firstLine="525" w:firstLineChars="250"/>
      </w:pPr>
      <w:bookmarkStart w:id="57" w:name="_Toc58830777"/>
      <w:bookmarkStart w:id="58" w:name="_Toc58830654"/>
    </w:p>
    <w:p>
      <w:pPr>
        <w:ind w:firstLine="602" w:firstLineChars="250"/>
        <w:rPr>
          <w:b/>
          <w:sz w:val="24"/>
        </w:rPr>
      </w:pPr>
      <w:r>
        <w:rPr>
          <w:rFonts w:hint="eastAsia"/>
          <w:b/>
          <w:sz w:val="24"/>
        </w:rPr>
        <w:t>总体架构</w:t>
      </w:r>
      <w:r>
        <w:rPr>
          <w:b/>
          <w:sz w:val="24"/>
        </w:rPr>
        <w:t>及拓扑</w:t>
      </w:r>
      <w:bookmarkEnd w:id="57"/>
      <w:bookmarkEnd w:id="58"/>
      <w:r>
        <w:rPr>
          <w:rFonts w:hint="eastAsia"/>
          <w:b/>
          <w:sz w:val="24"/>
        </w:rPr>
        <w:t>：</w:t>
      </w:r>
    </w:p>
    <w:p>
      <w:pPr>
        <w:spacing w:line="360" w:lineRule="auto"/>
        <w:ind w:firstLine="420" w:firstLineChars="200"/>
        <w:rPr>
          <w:rFonts w:ascii="宋体" w:hAnsi="宋体"/>
          <w:szCs w:val="21"/>
        </w:rPr>
      </w:pPr>
    </w:p>
    <w:p>
      <w:pPr>
        <w:spacing w:line="360" w:lineRule="auto"/>
        <w:ind w:firstLine="2310" w:firstLineChars="1100"/>
        <w:rPr>
          <w:rFonts w:ascii="宋体" w:hAnsi="宋体"/>
          <w:szCs w:val="21"/>
        </w:rPr>
      </w:pPr>
      <w:r>
        <w:drawing>
          <wp:inline distT="0" distB="0" distL="0" distR="0">
            <wp:extent cx="2743200" cy="3228975"/>
            <wp:effectExtent l="0" t="0" r="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cstate="print"/>
                    <a:stretch>
                      <a:fillRect/>
                    </a:stretch>
                  </pic:blipFill>
                  <pic:spPr>
                    <a:xfrm>
                      <a:off x="0" y="0"/>
                      <a:ext cx="2743200" cy="3228975"/>
                    </a:xfrm>
                    <a:prstGeom prst="rect">
                      <a:avLst/>
                    </a:prstGeom>
                  </pic:spPr>
                </pic:pic>
              </a:graphicData>
            </a:graphic>
          </wp:inline>
        </w:drawing>
      </w:r>
    </w:p>
    <w:p>
      <w:pPr>
        <w:spacing w:line="360" w:lineRule="auto"/>
        <w:ind w:firstLine="480" w:firstLineChars="200"/>
        <w:rPr>
          <w:rFonts w:ascii="宋体" w:hAnsi="宋体"/>
          <w:sz w:val="24"/>
        </w:rPr>
      </w:pPr>
      <w:r>
        <w:rPr>
          <w:rFonts w:hint="eastAsia" w:ascii="宋体" w:hAnsi="宋体"/>
          <w:sz w:val="24"/>
        </w:rPr>
        <w:t>如</w:t>
      </w:r>
      <w:r>
        <w:rPr>
          <w:rFonts w:ascii="宋体" w:hAnsi="宋体"/>
          <w:sz w:val="24"/>
        </w:rPr>
        <w:t>拓扑所示</w:t>
      </w:r>
      <w:r>
        <w:rPr>
          <w:rFonts w:hint="eastAsia" w:ascii="宋体" w:hAnsi="宋体"/>
          <w:sz w:val="24"/>
        </w:rPr>
        <w:t>，在院</w:t>
      </w:r>
      <w:r>
        <w:rPr>
          <w:rFonts w:ascii="宋体" w:hAnsi="宋体"/>
          <w:sz w:val="24"/>
        </w:rPr>
        <w:t>区</w:t>
      </w:r>
      <w:r>
        <w:rPr>
          <w:rFonts w:hint="eastAsia" w:ascii="宋体" w:hAnsi="宋体"/>
          <w:sz w:val="24"/>
        </w:rPr>
        <w:t>数据</w:t>
      </w:r>
      <w:r>
        <w:rPr>
          <w:rFonts w:ascii="宋体" w:hAnsi="宋体"/>
          <w:sz w:val="24"/>
        </w:rPr>
        <w:t>中心主机房</w:t>
      </w:r>
      <w:r>
        <w:rPr>
          <w:rFonts w:hint="eastAsia" w:ascii="宋体" w:hAnsi="宋体"/>
          <w:sz w:val="24"/>
        </w:rPr>
        <w:t>上</w:t>
      </w:r>
      <w:r>
        <w:rPr>
          <w:rFonts w:ascii="宋体" w:hAnsi="宋体"/>
          <w:sz w:val="24"/>
        </w:rPr>
        <w:t>：</w:t>
      </w:r>
    </w:p>
    <w:p>
      <w:pPr>
        <w:spacing w:line="360" w:lineRule="auto"/>
        <w:ind w:firstLine="1080" w:firstLineChars="450"/>
        <w:rPr>
          <w:rFonts w:ascii="宋体" w:hAnsi="宋体"/>
          <w:sz w:val="24"/>
        </w:rPr>
      </w:pPr>
      <w:r>
        <w:rPr>
          <w:rFonts w:ascii="宋体" w:hAnsi="宋体"/>
          <w:sz w:val="24"/>
        </w:rPr>
        <w:t>1</w:t>
      </w:r>
      <w:r>
        <w:rPr>
          <w:rFonts w:hint="eastAsia" w:ascii="宋体" w:hAnsi="宋体"/>
          <w:sz w:val="24"/>
        </w:rPr>
        <w:t>、在主机房原</w:t>
      </w:r>
      <w:r>
        <w:rPr>
          <w:rFonts w:ascii="宋体" w:hAnsi="宋体"/>
          <w:sz w:val="24"/>
        </w:rPr>
        <w:t>核心交换机上</w:t>
      </w:r>
      <w:r>
        <w:rPr>
          <w:rFonts w:hint="eastAsia" w:ascii="宋体" w:hAnsi="宋体"/>
          <w:sz w:val="24"/>
        </w:rPr>
        <w:t>扩展2块48端口</w:t>
      </w:r>
      <w:r>
        <w:rPr>
          <w:rFonts w:ascii="宋体" w:hAnsi="宋体"/>
          <w:sz w:val="24"/>
        </w:rPr>
        <w:t>电口板卡</w:t>
      </w:r>
      <w:r>
        <w:rPr>
          <w:rFonts w:hint="eastAsia" w:ascii="宋体" w:hAnsi="宋体"/>
          <w:sz w:val="24"/>
        </w:rPr>
        <w:t>；</w:t>
      </w:r>
    </w:p>
    <w:p>
      <w:pPr>
        <w:spacing w:line="360" w:lineRule="auto"/>
        <w:ind w:firstLine="1080" w:firstLineChars="450"/>
        <w:rPr>
          <w:rFonts w:ascii="宋体" w:hAnsi="宋体"/>
          <w:sz w:val="24"/>
        </w:rPr>
      </w:pPr>
      <w:r>
        <w:rPr>
          <w:rFonts w:ascii="宋体" w:hAnsi="宋体"/>
          <w:sz w:val="24"/>
        </w:rPr>
        <w:t>2</w:t>
      </w:r>
      <w:r>
        <w:rPr>
          <w:rFonts w:hint="eastAsia" w:ascii="宋体" w:hAnsi="宋体"/>
          <w:sz w:val="24"/>
        </w:rPr>
        <w:t>、增加2台</w:t>
      </w:r>
      <w:r>
        <w:rPr>
          <w:rFonts w:ascii="宋体" w:hAnsi="宋体"/>
          <w:sz w:val="24"/>
        </w:rPr>
        <w:t>汇聚交换机</w:t>
      </w:r>
      <w:r>
        <w:rPr>
          <w:rFonts w:hint="eastAsia" w:ascii="宋体" w:hAnsi="宋体"/>
          <w:sz w:val="24"/>
        </w:rPr>
        <w:t>，</w:t>
      </w:r>
      <w:r>
        <w:rPr>
          <w:rFonts w:ascii="宋体" w:hAnsi="宋体"/>
          <w:sz w:val="24"/>
        </w:rPr>
        <w:t>用于接入交换机</w:t>
      </w:r>
      <w:r>
        <w:rPr>
          <w:rFonts w:hint="eastAsia" w:ascii="宋体" w:hAnsi="宋体"/>
          <w:sz w:val="24"/>
        </w:rPr>
        <w:t>流量</w:t>
      </w:r>
      <w:r>
        <w:rPr>
          <w:rFonts w:ascii="宋体" w:hAnsi="宋体"/>
          <w:sz w:val="24"/>
        </w:rPr>
        <w:t>接入</w:t>
      </w:r>
      <w:r>
        <w:rPr>
          <w:rFonts w:hint="eastAsia" w:ascii="宋体" w:hAnsi="宋体"/>
          <w:sz w:val="24"/>
        </w:rPr>
        <w:t>；</w:t>
      </w:r>
    </w:p>
    <w:p>
      <w:pPr>
        <w:spacing w:line="360" w:lineRule="auto"/>
        <w:ind w:firstLine="1080" w:firstLineChars="450"/>
        <w:rPr>
          <w:rFonts w:ascii="宋体" w:hAnsi="宋体"/>
          <w:sz w:val="24"/>
        </w:rPr>
      </w:pPr>
      <w:r>
        <w:rPr>
          <w:rFonts w:ascii="宋体" w:hAnsi="宋体"/>
          <w:sz w:val="24"/>
        </w:rPr>
        <w:t>3</w:t>
      </w:r>
      <w:r>
        <w:rPr>
          <w:rFonts w:hint="eastAsia" w:ascii="宋体" w:hAnsi="宋体"/>
          <w:sz w:val="24"/>
        </w:rPr>
        <w:t>、</w:t>
      </w:r>
      <w:r>
        <w:rPr>
          <w:rFonts w:ascii="宋体" w:hAnsi="宋体"/>
          <w:sz w:val="24"/>
        </w:rPr>
        <w:t>增加</w:t>
      </w:r>
      <w:r>
        <w:rPr>
          <w:rFonts w:hint="eastAsia" w:ascii="宋体" w:hAnsi="宋体"/>
          <w:sz w:val="24"/>
        </w:rPr>
        <w:t>2台</w:t>
      </w:r>
      <w:r>
        <w:rPr>
          <w:rFonts w:ascii="宋体" w:hAnsi="宋体"/>
          <w:sz w:val="24"/>
        </w:rPr>
        <w:t>接入层交换机，用于接入医院各类终端</w:t>
      </w:r>
      <w:r>
        <w:rPr>
          <w:rFonts w:hint="eastAsia" w:ascii="宋体" w:hAnsi="宋体"/>
          <w:sz w:val="24"/>
        </w:rPr>
        <w:t>；</w:t>
      </w:r>
    </w:p>
    <w:p>
      <w:pPr>
        <w:spacing w:line="360" w:lineRule="auto"/>
        <w:ind w:firstLine="1080" w:firstLineChars="450"/>
        <w:rPr>
          <w:rFonts w:ascii="宋体" w:hAnsi="宋体"/>
          <w:sz w:val="24"/>
        </w:rPr>
      </w:pPr>
      <w:r>
        <w:rPr>
          <w:rFonts w:hint="eastAsia" w:ascii="宋体" w:hAnsi="宋体"/>
          <w:sz w:val="24"/>
        </w:rPr>
        <w:t>4、</w:t>
      </w:r>
      <w:r>
        <w:rPr>
          <w:rFonts w:ascii="宋体" w:hAnsi="宋体"/>
          <w:sz w:val="24"/>
        </w:rPr>
        <w:t>增加对应的</w:t>
      </w:r>
      <w:r>
        <w:rPr>
          <w:rFonts w:hint="eastAsia" w:ascii="宋体" w:hAnsi="宋体"/>
          <w:sz w:val="24"/>
        </w:rPr>
        <w:t>万兆</w:t>
      </w:r>
      <w:r>
        <w:rPr>
          <w:rFonts w:ascii="宋体" w:hAnsi="宋体"/>
          <w:sz w:val="24"/>
        </w:rPr>
        <w:t>多模及万兆单模光模块，用于汇聚与核心之间互联</w:t>
      </w:r>
      <w:r>
        <w:rPr>
          <w:rFonts w:hint="eastAsia" w:ascii="宋体" w:hAnsi="宋体"/>
          <w:sz w:val="24"/>
        </w:rPr>
        <w:t>。</w:t>
      </w:r>
    </w:p>
    <w:p>
      <w:pPr>
        <w:spacing w:line="360" w:lineRule="auto"/>
        <w:ind w:firstLine="480" w:firstLineChars="200"/>
        <w:rPr>
          <w:rFonts w:ascii="宋体" w:hAnsi="宋体"/>
          <w:sz w:val="24"/>
        </w:rPr>
      </w:pPr>
    </w:p>
    <w:p>
      <w:pPr>
        <w:pStyle w:val="2"/>
        <w:pageBreakBefore/>
        <w:tabs>
          <w:tab w:val="left" w:pos="1080"/>
        </w:tabs>
        <w:spacing w:beforeLines="0"/>
        <w:ind w:left="862" w:hanging="431"/>
        <w:contextualSpacing/>
        <w:rPr>
          <w:rFonts w:ascii="宋体" w:hAnsi="宋体"/>
          <w:b/>
          <w:bCs/>
          <w:sz w:val="44"/>
          <w:szCs w:val="44"/>
        </w:rPr>
      </w:pPr>
      <w:bookmarkStart w:id="59" w:name="_Toc58830655"/>
      <w:bookmarkStart w:id="60" w:name="_Toc58830778"/>
      <w:bookmarkStart w:id="61" w:name="_Toc58858384"/>
      <w:r>
        <w:rPr>
          <w:rFonts w:ascii="宋体" w:hAnsi="宋体"/>
          <w:b/>
          <w:bCs/>
          <w:sz w:val="44"/>
          <w:szCs w:val="44"/>
        </w:rPr>
        <w:t>设备参数</w:t>
      </w:r>
      <w:bookmarkEnd w:id="59"/>
      <w:bookmarkEnd w:id="60"/>
      <w:bookmarkEnd w:id="61"/>
    </w:p>
    <w:p/>
    <w:tbl>
      <w:tblPr>
        <w:tblStyle w:val="42"/>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83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序号</w:t>
            </w:r>
          </w:p>
        </w:tc>
        <w:tc>
          <w:tcPr>
            <w:tcW w:w="8363" w:type="dxa"/>
          </w:tcPr>
          <w:p>
            <w:pPr>
              <w:jc w:val="center"/>
            </w:pPr>
            <w:r>
              <w:rPr>
                <w:rFonts w:hint="eastAsia"/>
              </w:rPr>
              <w:t>技术</w:t>
            </w:r>
            <w: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一</w:t>
            </w:r>
          </w:p>
        </w:tc>
        <w:tc>
          <w:tcPr>
            <w:tcW w:w="8363" w:type="dxa"/>
          </w:tcPr>
          <w:p>
            <w:pPr>
              <w:rPr>
                <w:b/>
              </w:rPr>
            </w:pPr>
            <w:r>
              <w:rPr>
                <w:rFonts w:hint="eastAsia"/>
                <w:b/>
              </w:rPr>
              <w:t>48口千兆电口板卡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w:t>
            </w:r>
          </w:p>
        </w:tc>
        <w:tc>
          <w:tcPr>
            <w:tcW w:w="8363" w:type="dxa"/>
          </w:tcPr>
          <w:p>
            <w:pPr>
              <w:rPr>
                <w:rFonts w:cs="宋体" w:asciiTheme="minorEastAsia" w:hAnsiTheme="minorEastAsia"/>
                <w:kern w:val="0"/>
                <w:sz w:val="24"/>
              </w:rPr>
            </w:pPr>
            <w:r>
              <w:rPr>
                <w:rFonts w:hint="eastAsia" w:cs="宋体" w:asciiTheme="minorEastAsia" w:hAnsiTheme="minorEastAsia"/>
                <w:kern w:val="0"/>
                <w:sz w:val="24"/>
              </w:rPr>
              <w:t>①兼容</w:t>
            </w:r>
            <w:r>
              <w:rPr>
                <w:rFonts w:cs="宋体" w:asciiTheme="minorEastAsia" w:hAnsiTheme="minorEastAsia"/>
                <w:kern w:val="0"/>
                <w:sz w:val="24"/>
              </w:rPr>
              <w:t>现有的中兴的核心交换机</w:t>
            </w:r>
            <w:r>
              <w:rPr>
                <w:rFonts w:hint="eastAsia" w:cs="宋体" w:asciiTheme="minorEastAsia" w:hAnsiTheme="minorEastAsia"/>
                <w:kern w:val="0"/>
                <w:sz w:val="24"/>
              </w:rPr>
              <w:t>及扩展，</w:t>
            </w:r>
            <w:r>
              <w:rPr>
                <w:rFonts w:cs="宋体" w:asciiTheme="minorEastAsia" w:hAnsiTheme="minorEastAsia"/>
                <w:kern w:val="0"/>
                <w:sz w:val="24"/>
              </w:rPr>
              <w:t>配置</w:t>
            </w:r>
            <w:r>
              <w:rPr>
                <w:rFonts w:hint="eastAsia" w:cs="宋体" w:asciiTheme="minorEastAsia" w:hAnsiTheme="minorEastAsia"/>
                <w:kern w:val="0"/>
                <w:sz w:val="24"/>
              </w:rPr>
              <w:t>48端口</w:t>
            </w:r>
            <w:r>
              <w:rPr>
                <w:rFonts w:cs="宋体" w:asciiTheme="minorEastAsia" w:hAnsiTheme="minorEastAsia"/>
                <w:kern w:val="0"/>
                <w:sz w:val="24"/>
              </w:rPr>
              <w:t>千兆电口卡</w:t>
            </w:r>
          </w:p>
          <w:p>
            <w:pPr>
              <w:rPr>
                <w:rFonts w:cs="宋体" w:asciiTheme="minorEastAsia" w:hAnsiTheme="minorEastAsia" w:eastAsiaTheme="minorEastAsia"/>
                <w:kern w:val="0"/>
                <w:sz w:val="24"/>
              </w:rPr>
            </w:pPr>
            <w:r>
              <w:rPr>
                <w:rFonts w:hint="eastAsia" w:cs="宋体" w:asciiTheme="minorEastAsia" w:hAnsiTheme="minorEastAsia"/>
                <w:kern w:val="0"/>
                <w:sz w:val="24"/>
              </w:rPr>
              <w:t>②可重新</w:t>
            </w:r>
            <w:r>
              <w:rPr>
                <w:rFonts w:cs="宋体" w:asciiTheme="minorEastAsia" w:hAnsiTheme="minorEastAsia"/>
                <w:kern w:val="0"/>
                <w:sz w:val="24"/>
              </w:rPr>
              <w:t>采购</w:t>
            </w:r>
            <w:r>
              <w:rPr>
                <w:rFonts w:hint="eastAsia" w:cs="宋体" w:asciiTheme="minorEastAsia" w:hAnsiTheme="minorEastAsia"/>
                <w:kern w:val="0"/>
                <w:sz w:val="24"/>
              </w:rPr>
              <w:t>核心</w:t>
            </w:r>
            <w:r>
              <w:rPr>
                <w:rFonts w:cs="宋体" w:asciiTheme="minorEastAsia" w:hAnsiTheme="minorEastAsia"/>
                <w:kern w:val="0"/>
                <w:sz w:val="24"/>
              </w:rPr>
              <w:t>交换机</w:t>
            </w:r>
            <w:r>
              <w:rPr>
                <w:rFonts w:hint="eastAsia" w:cs="宋体" w:asciiTheme="minorEastAsia" w:hAnsiTheme="minorEastAsia"/>
                <w:kern w:val="0"/>
                <w:sz w:val="24"/>
              </w:rPr>
              <w:t>满足48端口千兆</w:t>
            </w:r>
            <w:r>
              <w:rPr>
                <w:rFonts w:cs="宋体" w:asciiTheme="minorEastAsia" w:hAnsiTheme="minorEastAsia"/>
                <w:kern w:val="0"/>
                <w:sz w:val="24"/>
              </w:rPr>
              <w:t>电口需求，但需</w:t>
            </w:r>
            <w:r>
              <w:rPr>
                <w:rFonts w:hint="eastAsia" w:cs="宋体" w:asciiTheme="minorEastAsia" w:hAnsiTheme="minorEastAsia"/>
                <w:kern w:val="0"/>
                <w:sz w:val="24"/>
              </w:rPr>
              <w:t>性能</w:t>
            </w:r>
            <w:r>
              <w:rPr>
                <w:rFonts w:cs="宋体" w:asciiTheme="minorEastAsia" w:hAnsiTheme="minorEastAsia"/>
                <w:kern w:val="0"/>
                <w:sz w:val="24"/>
              </w:rPr>
              <w:t>不低于原核心交换机性能</w:t>
            </w:r>
            <w:r>
              <w:rPr>
                <w:rFonts w:hint="eastAsia" w:cs="宋体" w:asciiTheme="minorEastAsia" w:hAnsiTheme="minorEastAsia"/>
                <w:kern w:val="0"/>
                <w:sz w:val="24"/>
              </w:rPr>
              <w:t>，</w:t>
            </w:r>
            <w:r>
              <w:rPr>
                <w:rFonts w:hint="eastAsia" w:cs="宋体" w:asciiTheme="minorEastAsia" w:hAnsiTheme="minorEastAsia" w:eastAsiaTheme="minorEastAsia"/>
                <w:kern w:val="0"/>
                <w:sz w:val="24"/>
              </w:rPr>
              <w:t>交换容量≥</w:t>
            </w:r>
            <w:r>
              <w:rPr>
                <w:rFonts w:cs="宋体" w:asciiTheme="minorEastAsia" w:hAnsiTheme="minorEastAsia" w:eastAsiaTheme="minorEastAsia"/>
                <w:kern w:val="0"/>
                <w:sz w:val="24"/>
              </w:rPr>
              <w:t>20T</w:t>
            </w:r>
            <w:r>
              <w:rPr>
                <w:rFonts w:hint="eastAsia" w:cs="宋体" w:asciiTheme="minorEastAsia" w:hAnsiTheme="minorEastAsia" w:eastAsiaTheme="minorEastAsia"/>
                <w:kern w:val="0"/>
                <w:sz w:val="24"/>
              </w:rPr>
              <w:t>bps，</w:t>
            </w:r>
            <w:r>
              <w:rPr>
                <w:rFonts w:hint="eastAsia" w:cs="宋体" w:asciiTheme="minorEastAsia" w:hAnsiTheme="minorEastAsia" w:eastAsiaTheme="minorEastAsia"/>
                <w:sz w:val="24"/>
              </w:rPr>
              <w:t>包转发率</w:t>
            </w:r>
            <w:r>
              <w:rPr>
                <w:rFonts w:hint="eastAsia" w:cs="宋体" w:asciiTheme="minorEastAsia" w:hAnsiTheme="minorEastAsia" w:eastAsiaTheme="minorEastAsia"/>
                <w:kern w:val="0"/>
                <w:sz w:val="24"/>
              </w:rPr>
              <w:t>≥</w:t>
            </w:r>
            <w:r>
              <w:rPr>
                <w:rFonts w:cs="宋体" w:asciiTheme="minorEastAsia" w:hAnsiTheme="minorEastAsia" w:eastAsiaTheme="minorEastAsia"/>
                <w:kern w:val="0"/>
                <w:sz w:val="24"/>
              </w:rPr>
              <w:t>5700</w:t>
            </w:r>
            <w:r>
              <w:rPr>
                <w:rFonts w:hint="eastAsia" w:cs="宋体" w:asciiTheme="minorEastAsia" w:hAnsiTheme="minorEastAsia" w:eastAsiaTheme="minorEastAsia"/>
                <w:kern w:val="0"/>
                <w:sz w:val="24"/>
              </w:rPr>
              <w:t>Mpps，</w:t>
            </w:r>
            <w:r>
              <w:rPr>
                <w:rFonts w:cs="宋体" w:asciiTheme="minorEastAsia" w:hAnsiTheme="minorEastAsia" w:eastAsiaTheme="minorEastAsia"/>
                <w:kern w:val="0"/>
                <w:sz w:val="24"/>
              </w:rPr>
              <w:t>业务槽位</w:t>
            </w:r>
            <w:r>
              <w:rPr>
                <w:rFonts w:hint="eastAsia" w:cs="宋体" w:asciiTheme="minorEastAsia" w:hAnsiTheme="minorEastAsia" w:eastAsiaTheme="minorEastAsia"/>
                <w:kern w:val="0"/>
                <w:sz w:val="24"/>
              </w:rPr>
              <w:t>≥12个</w:t>
            </w:r>
          </w:p>
          <w:p>
            <w:r>
              <w:rPr>
                <w:rFonts w:hint="eastAsia" w:cs="宋体" w:asciiTheme="minorEastAsia" w:hAnsiTheme="minorEastAsia" w:eastAsiaTheme="minorEastAsia"/>
                <w:kern w:val="0"/>
                <w:sz w:val="24"/>
              </w:rPr>
              <w:t>上面</w:t>
            </w:r>
            <w:r>
              <w:rPr>
                <w:rFonts w:cs="宋体" w:asciiTheme="minorEastAsia" w:hAnsiTheme="minorEastAsia" w:eastAsiaTheme="minorEastAsia"/>
                <w:kern w:val="0"/>
                <w:sz w:val="24"/>
              </w:rPr>
              <w:t>①②任</w:t>
            </w:r>
            <w:r>
              <w:rPr>
                <w:rFonts w:hint="eastAsia" w:cs="宋体" w:asciiTheme="minorEastAsia" w:hAnsiTheme="minorEastAsia" w:eastAsiaTheme="minorEastAsia"/>
                <w:kern w:val="0"/>
                <w:sz w:val="24"/>
              </w:rPr>
              <w:t>选一种</w:t>
            </w:r>
            <w:r>
              <w:rPr>
                <w:rFonts w:cs="宋体" w:asciiTheme="minorEastAsia" w:hAnsiTheme="minorEastAsia" w:eastAsiaTheme="minorEastAsia"/>
                <w:kern w:val="0"/>
                <w:sz w:val="24"/>
              </w:rPr>
              <w:t>部署模式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2</w:t>
            </w:r>
          </w:p>
        </w:tc>
        <w:tc>
          <w:tcPr>
            <w:tcW w:w="8363" w:type="dxa"/>
          </w:tcPr>
          <w:p>
            <w:pPr>
              <w:rPr>
                <w:rFonts w:cs="宋体" w:asciiTheme="minorEastAsia" w:hAnsiTheme="minorEastAsia"/>
                <w:kern w:val="0"/>
                <w:sz w:val="24"/>
              </w:rPr>
            </w:pPr>
            <w:r>
              <w:rPr>
                <w:rFonts w:hint="eastAsia" w:cs="宋体" w:asciiTheme="minorEastAsia" w:hAnsiTheme="minorEastAsia" w:eastAsiaTheme="minorEastAsia"/>
                <w:sz w:val="24"/>
              </w:rPr>
              <w:t>▲</w:t>
            </w:r>
            <w:r>
              <w:rPr>
                <w:rFonts w:cs="宋体" w:asciiTheme="minorEastAsia" w:hAnsiTheme="minorEastAsia"/>
                <w:kern w:val="0"/>
                <w:sz w:val="24"/>
              </w:rPr>
              <w:t>支持</w:t>
            </w:r>
            <w:r>
              <w:rPr>
                <w:rFonts w:hint="eastAsia" w:cs="宋体" w:asciiTheme="minorEastAsia" w:hAnsiTheme="minorEastAsia"/>
                <w:kern w:val="0"/>
                <w:sz w:val="24"/>
              </w:rPr>
              <w:t>在</w:t>
            </w:r>
            <w:r>
              <w:rPr>
                <w:rFonts w:cs="宋体" w:asciiTheme="minorEastAsia" w:hAnsiTheme="minorEastAsia"/>
                <w:kern w:val="0"/>
                <w:sz w:val="24"/>
              </w:rPr>
              <w:t>设备</w:t>
            </w:r>
            <w:r>
              <w:rPr>
                <w:rFonts w:hint="eastAsia" w:cs="宋体" w:asciiTheme="minorEastAsia" w:hAnsiTheme="minorEastAsia"/>
                <w:kern w:val="0"/>
                <w:sz w:val="24"/>
              </w:rPr>
              <w:t>正面同</w:t>
            </w:r>
            <w:r>
              <w:rPr>
                <w:rFonts w:cs="宋体" w:asciiTheme="minorEastAsia" w:hAnsiTheme="minorEastAsia"/>
                <w:kern w:val="0"/>
                <w:sz w:val="24"/>
              </w:rPr>
              <w:t>侧维护</w:t>
            </w:r>
            <w:r>
              <w:rPr>
                <w:rFonts w:hint="eastAsia" w:cs="宋体" w:asciiTheme="minorEastAsia" w:hAnsiTheme="minorEastAsia"/>
                <w:kern w:val="0"/>
                <w:sz w:val="24"/>
              </w:rPr>
              <w:t>,需提供第三方测试报告证明；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3</w:t>
            </w:r>
          </w:p>
        </w:tc>
        <w:tc>
          <w:tcPr>
            <w:tcW w:w="8363" w:type="dxa"/>
          </w:tcPr>
          <w:p>
            <w:pPr>
              <w:rPr>
                <w:rFonts w:cs="宋体" w:asciiTheme="minorEastAsia" w:hAnsiTheme="minorEastAsia" w:eastAsiaTheme="minorEastAsia"/>
                <w:sz w:val="24"/>
              </w:rPr>
            </w:pPr>
            <w:r>
              <w:rPr>
                <w:rFonts w:hint="eastAsia" w:cs="宋体" w:asciiTheme="minorEastAsia" w:hAnsiTheme="minorEastAsia"/>
                <w:kern w:val="0"/>
                <w:sz w:val="24"/>
              </w:rPr>
              <w:t>为安装及日常维护方便，支持可插拔板卡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4</w:t>
            </w:r>
          </w:p>
        </w:tc>
        <w:tc>
          <w:tcPr>
            <w:tcW w:w="8363" w:type="dxa"/>
          </w:tcPr>
          <w:p>
            <w:pPr>
              <w:rPr>
                <w:rFonts w:cs="宋体" w:asciiTheme="minorEastAsia" w:hAnsiTheme="minorEastAsia"/>
                <w:kern w:val="0"/>
                <w:sz w:val="24"/>
              </w:rPr>
            </w:pPr>
            <w:r>
              <w:rPr>
                <w:rFonts w:hint="eastAsia" w:cs="宋体" w:asciiTheme="minorEastAsia" w:hAnsiTheme="minorEastAsia" w:eastAsiaTheme="minorEastAsia"/>
                <w:sz w:val="24"/>
              </w:rPr>
              <w:t>▲</w:t>
            </w:r>
            <w:r>
              <w:rPr>
                <w:rFonts w:hint="eastAsia" w:cs="宋体" w:asciiTheme="minorEastAsia" w:hAnsiTheme="minorEastAsia"/>
                <w:kern w:val="0"/>
                <w:sz w:val="24"/>
              </w:rPr>
              <w:t>扩容</w:t>
            </w:r>
            <w:r>
              <w:rPr>
                <w:rFonts w:cs="宋体" w:asciiTheme="minorEastAsia" w:hAnsiTheme="minorEastAsia"/>
                <w:kern w:val="0"/>
                <w:sz w:val="24"/>
              </w:rPr>
              <w:t>板卡后，整体设备支持</w:t>
            </w:r>
            <w:r>
              <w:rPr>
                <w:rFonts w:hint="eastAsia" w:cs="宋体" w:asciiTheme="minorEastAsia" w:hAnsiTheme="minorEastAsia"/>
                <w:kern w:val="0"/>
                <w:sz w:val="24"/>
              </w:rPr>
              <w:t>多</w:t>
            </w:r>
            <w:r>
              <w:rPr>
                <w:rFonts w:cs="宋体" w:asciiTheme="minorEastAsia" w:hAnsiTheme="minorEastAsia"/>
                <w:kern w:val="0"/>
                <w:sz w:val="24"/>
              </w:rPr>
              <w:t>虚</w:t>
            </w:r>
            <w:r>
              <w:rPr>
                <w:rFonts w:hint="eastAsia" w:cs="宋体" w:asciiTheme="minorEastAsia" w:hAnsiTheme="minorEastAsia"/>
                <w:kern w:val="0"/>
                <w:sz w:val="24"/>
              </w:rPr>
              <w:t>一</w:t>
            </w:r>
            <w:r>
              <w:rPr>
                <w:rFonts w:cs="宋体" w:asciiTheme="minorEastAsia" w:hAnsiTheme="minorEastAsia"/>
                <w:kern w:val="0"/>
                <w:sz w:val="24"/>
              </w:rPr>
              <w:t>功能，</w:t>
            </w:r>
            <w:r>
              <w:rPr>
                <w:rFonts w:hint="eastAsia" w:cs="宋体" w:asciiTheme="minorEastAsia" w:hAnsiTheme="minorEastAsia"/>
                <w:kern w:val="0"/>
                <w:sz w:val="24"/>
              </w:rPr>
              <w:t>可</w:t>
            </w:r>
            <w:r>
              <w:rPr>
                <w:rFonts w:cs="宋体" w:asciiTheme="minorEastAsia" w:hAnsiTheme="minorEastAsia"/>
                <w:kern w:val="0"/>
                <w:sz w:val="24"/>
              </w:rPr>
              <w:t>实现两台物理设备虚拟成一台设备，</w:t>
            </w:r>
            <w:r>
              <w:rPr>
                <w:rFonts w:hint="eastAsia" w:cs="宋体" w:asciiTheme="minorEastAsia" w:hAnsiTheme="minorEastAsia"/>
                <w:kern w:val="0"/>
                <w:sz w:val="24"/>
              </w:rPr>
              <w:t>需提供第三方测试报告证明；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5</w:t>
            </w:r>
          </w:p>
        </w:tc>
        <w:tc>
          <w:tcPr>
            <w:tcW w:w="8363" w:type="dxa"/>
          </w:tcPr>
          <w:p>
            <w:pPr>
              <w:rPr>
                <w:rFonts w:cs="宋体" w:asciiTheme="minorEastAsia" w:hAnsiTheme="minorEastAsia" w:eastAsiaTheme="minorEastAsia"/>
                <w:sz w:val="24"/>
              </w:rPr>
            </w:pPr>
            <w:r>
              <w:rPr>
                <w:rFonts w:hint="eastAsia" w:cs="宋体" w:asciiTheme="minorEastAsia" w:hAnsiTheme="minorEastAsia" w:eastAsiaTheme="minorEastAsia"/>
                <w:sz w:val="24"/>
              </w:rPr>
              <w:t>为了</w:t>
            </w:r>
            <w:r>
              <w:rPr>
                <w:rFonts w:cs="宋体" w:asciiTheme="minorEastAsia" w:hAnsiTheme="minorEastAsia" w:eastAsiaTheme="minorEastAsia"/>
                <w:sz w:val="24"/>
              </w:rPr>
              <w:t>保证医院网络可靠性，要求</w:t>
            </w:r>
            <w:r>
              <w:rPr>
                <w:rFonts w:hint="eastAsia" w:cs="宋体" w:asciiTheme="minorEastAsia" w:hAnsiTheme="minorEastAsia" w:eastAsiaTheme="minorEastAsia"/>
                <w:sz w:val="24"/>
              </w:rPr>
              <w:t>扩展</w:t>
            </w:r>
            <w:r>
              <w:rPr>
                <w:rFonts w:cs="宋体" w:asciiTheme="minorEastAsia" w:hAnsiTheme="minorEastAsia" w:eastAsiaTheme="minorEastAsia"/>
                <w:sz w:val="24"/>
              </w:rPr>
              <w:t>后整体设备</w:t>
            </w:r>
            <w:r>
              <w:rPr>
                <w:rFonts w:hint="eastAsia" w:cs="宋体" w:asciiTheme="minorEastAsia" w:hAnsiTheme="minorEastAsia" w:eastAsiaTheme="minorEastAsia"/>
                <w:sz w:val="24"/>
              </w:rPr>
              <w:t>具备</w:t>
            </w:r>
            <w:r>
              <w:rPr>
                <w:rFonts w:cs="宋体" w:asciiTheme="minorEastAsia" w:hAnsiTheme="minorEastAsia" w:eastAsiaTheme="minorEastAsia"/>
                <w:sz w:val="24"/>
              </w:rPr>
              <w:t>好的</w:t>
            </w:r>
            <w:r>
              <w:rPr>
                <w:rFonts w:hint="eastAsia" w:cs="宋体" w:asciiTheme="minorEastAsia" w:hAnsiTheme="minorEastAsia" w:eastAsiaTheme="minorEastAsia"/>
                <w:sz w:val="24"/>
              </w:rPr>
              <w:t>散热效果和可靠性，要求设备支持直通风道设计，支持380V ，需提供第三方测试报告证明。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二</w:t>
            </w:r>
          </w:p>
        </w:tc>
        <w:tc>
          <w:tcPr>
            <w:tcW w:w="8363" w:type="dxa"/>
          </w:tcPr>
          <w:p>
            <w:pPr>
              <w:rPr>
                <w:rFonts w:cs="宋体" w:asciiTheme="minorEastAsia" w:hAnsiTheme="minorEastAsia" w:eastAsiaTheme="minorEastAsia"/>
                <w:b/>
                <w:sz w:val="24"/>
              </w:rPr>
            </w:pPr>
            <w:r>
              <w:rPr>
                <w:rFonts w:hint="eastAsia" w:cs="宋体" w:asciiTheme="minorEastAsia" w:hAnsiTheme="minorEastAsia" w:eastAsiaTheme="minorEastAsia"/>
                <w:b/>
                <w:sz w:val="24"/>
              </w:rPr>
              <w:t>新增汇聚交换机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w:t>
            </w:r>
          </w:p>
        </w:tc>
        <w:tc>
          <w:tcPr>
            <w:tcW w:w="8363" w:type="dxa"/>
          </w:tcPr>
          <w:p>
            <w:pPr>
              <w:rPr>
                <w:rFonts w:cs="宋体" w:asciiTheme="minorEastAsia" w:hAnsiTheme="minorEastAsia" w:eastAsiaTheme="minorEastAsia"/>
                <w:sz w:val="24"/>
              </w:rPr>
            </w:pPr>
            <w:r>
              <w:rPr>
                <w:rFonts w:hint="eastAsia" w:cs="宋体" w:asciiTheme="minorEastAsia" w:hAnsiTheme="minorEastAsia" w:eastAsiaTheme="minorEastAsia"/>
                <w:kern w:val="0"/>
                <w:sz w:val="24"/>
              </w:rPr>
              <w:t>交换容量≥</w:t>
            </w:r>
            <w:r>
              <w:rPr>
                <w:rFonts w:cs="宋体" w:asciiTheme="minorEastAsia" w:hAnsiTheme="minorEastAsia" w:eastAsiaTheme="minorEastAsia"/>
                <w:kern w:val="0"/>
                <w:sz w:val="24"/>
              </w:rPr>
              <w:t>736</w:t>
            </w:r>
            <w:r>
              <w:rPr>
                <w:rFonts w:hint="eastAsia" w:cs="宋体" w:asciiTheme="minorEastAsia" w:hAnsiTheme="minorEastAsia" w:eastAsiaTheme="minorEastAsia"/>
                <w:kern w:val="0"/>
                <w:sz w:val="24"/>
              </w:rPr>
              <w:t>Gbps，</w:t>
            </w:r>
            <w:r>
              <w:rPr>
                <w:rFonts w:hint="eastAsia" w:cs="宋体" w:asciiTheme="minorEastAsia" w:hAnsiTheme="minorEastAsia" w:eastAsiaTheme="minorEastAsia"/>
                <w:sz w:val="24"/>
              </w:rPr>
              <w:t>包转发率</w:t>
            </w:r>
            <w:r>
              <w:rPr>
                <w:rFonts w:hint="eastAsia" w:cs="宋体" w:asciiTheme="minorEastAsia" w:hAnsiTheme="minorEastAsia" w:eastAsiaTheme="minorEastAsia"/>
                <w:kern w:val="0"/>
                <w:sz w:val="24"/>
              </w:rPr>
              <w:t>≥</w:t>
            </w:r>
            <w:r>
              <w:rPr>
                <w:rFonts w:cs="宋体" w:asciiTheme="minorEastAsia" w:hAnsiTheme="minorEastAsia" w:eastAsiaTheme="minorEastAsia"/>
                <w:kern w:val="0"/>
                <w:sz w:val="24"/>
              </w:rPr>
              <w:t>396</w:t>
            </w:r>
            <w:r>
              <w:rPr>
                <w:rFonts w:hint="eastAsia" w:cs="宋体" w:asciiTheme="minorEastAsia" w:hAnsiTheme="minorEastAsia" w:eastAsiaTheme="minorEastAsia"/>
                <w:kern w:val="0"/>
                <w:sz w:val="24"/>
              </w:rPr>
              <w:t>Mpps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2</w:t>
            </w:r>
          </w:p>
        </w:tc>
        <w:tc>
          <w:tcPr>
            <w:tcW w:w="8363" w:type="dxa"/>
          </w:tcPr>
          <w:p>
            <w:pPr>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≥24个千兆</w:t>
            </w:r>
            <w:r>
              <w:rPr>
                <w:rFonts w:cs="宋体" w:asciiTheme="minorEastAsia" w:hAnsiTheme="minorEastAsia" w:eastAsiaTheme="minorEastAsia"/>
                <w:kern w:val="0"/>
                <w:sz w:val="24"/>
              </w:rPr>
              <w:t>电口</w:t>
            </w:r>
            <w:r>
              <w:rPr>
                <w:rFonts w:hint="eastAsia" w:cs="宋体" w:asciiTheme="minorEastAsia" w:hAnsiTheme="minorEastAsia" w:eastAsiaTheme="minorEastAsia"/>
                <w:kern w:val="0"/>
                <w:sz w:val="24"/>
              </w:rPr>
              <w:t>（其中有8个combo），≥4个万兆SFP+口，≥1个扩展槽，</w:t>
            </w:r>
            <w:r>
              <w:rPr>
                <w:rFonts w:cs="宋体" w:asciiTheme="minorEastAsia" w:hAnsiTheme="minorEastAsia" w:eastAsiaTheme="minorEastAsia"/>
                <w:kern w:val="0"/>
                <w:sz w:val="24"/>
              </w:rPr>
              <w:t>配置</w:t>
            </w:r>
            <w:r>
              <w:rPr>
                <w:rFonts w:hint="eastAsia" w:cs="宋体" w:asciiTheme="minorEastAsia" w:hAnsiTheme="minorEastAsia" w:eastAsiaTheme="minorEastAsia"/>
                <w:kern w:val="0"/>
                <w:sz w:val="24"/>
              </w:rPr>
              <w:t>12个千兆光模块,4个万兆光模块。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3</w:t>
            </w:r>
          </w:p>
        </w:tc>
        <w:tc>
          <w:tcPr>
            <w:tcW w:w="8363" w:type="dxa"/>
          </w:tcPr>
          <w:p>
            <w:pPr>
              <w:widowControl/>
              <w:rPr>
                <w:rFonts w:cs="宋体" w:asciiTheme="minorEastAsia" w:hAnsiTheme="minorEastAsia" w:eastAsiaTheme="minorEastAsia"/>
                <w:sz w:val="24"/>
              </w:rPr>
            </w:pPr>
            <w:r>
              <w:rPr>
                <w:rFonts w:hint="eastAsia" w:cs="宋体" w:asciiTheme="minorEastAsia" w:hAnsiTheme="minorEastAsia" w:eastAsiaTheme="minorEastAsia"/>
                <w:sz w:val="24"/>
              </w:rPr>
              <w:t>配置双电源，支持模块化电源1+1冗余；</w:t>
            </w:r>
          </w:p>
          <w:p>
            <w:pPr>
              <w:rPr>
                <w:rFonts w:cs="宋体" w:asciiTheme="minorEastAsia" w:hAnsiTheme="minorEastAsia" w:eastAsiaTheme="minorEastAsia"/>
                <w:kern w:val="0"/>
                <w:sz w:val="24"/>
              </w:rPr>
            </w:pPr>
            <w:r>
              <w:rPr>
                <w:rFonts w:hint="eastAsia" w:cs="宋体" w:asciiTheme="minorEastAsia" w:hAnsiTheme="minorEastAsia" w:eastAsiaTheme="minorEastAsia"/>
                <w:sz w:val="24"/>
              </w:rPr>
              <w:t>配置模块化双风扇，设备风扇支持前/后通风，风道可调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4</w:t>
            </w:r>
          </w:p>
        </w:tc>
        <w:tc>
          <w:tcPr>
            <w:tcW w:w="8363" w:type="dxa"/>
          </w:tcPr>
          <w:p>
            <w:pPr>
              <w:widowControl/>
              <w:rPr>
                <w:rFonts w:cs="宋体" w:asciiTheme="minorEastAsia" w:hAnsiTheme="minorEastAsia" w:eastAsiaTheme="minorEastAsia"/>
                <w:sz w:val="24"/>
              </w:rPr>
            </w:pPr>
            <w:r>
              <w:rPr>
                <w:rFonts w:hint="eastAsia" w:cs="宋体" w:asciiTheme="minorEastAsia" w:hAnsiTheme="minorEastAsia" w:eastAsiaTheme="minorEastAsia"/>
                <w:sz w:val="24"/>
              </w:rPr>
              <w:t>支持防火墙插卡，提供工信部权威第三机构测试报告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5</w:t>
            </w:r>
          </w:p>
        </w:tc>
        <w:tc>
          <w:tcPr>
            <w:tcW w:w="8363" w:type="dxa"/>
          </w:tcPr>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MAC地址表≥64K</w:t>
            </w:r>
          </w:p>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路由表容量≥32K</w:t>
            </w:r>
          </w:p>
          <w:p>
            <w:pPr>
              <w:widowControl/>
              <w:rPr>
                <w:rFonts w:cs="宋体" w:asciiTheme="minorEastAsia" w:hAnsiTheme="minorEastAsia" w:eastAsiaTheme="minorEastAsia"/>
                <w:sz w:val="24"/>
              </w:rPr>
            </w:pPr>
            <w:r>
              <w:rPr>
                <w:rFonts w:hint="eastAsia" w:cs="宋体" w:asciiTheme="minorEastAsia" w:hAnsiTheme="minorEastAsia" w:eastAsiaTheme="minorEastAsia"/>
                <w:kern w:val="0"/>
                <w:sz w:val="24"/>
              </w:rPr>
              <w:t>ARP≥32K</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6</w:t>
            </w:r>
          </w:p>
        </w:tc>
        <w:tc>
          <w:tcPr>
            <w:tcW w:w="8363" w:type="dxa"/>
          </w:tcPr>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sz w:val="24"/>
              </w:rPr>
              <w:t>▲</w:t>
            </w:r>
            <w:r>
              <w:rPr>
                <w:rFonts w:hint="eastAsia" w:cs="宋体" w:asciiTheme="minorEastAsia" w:hAnsiTheme="minorEastAsia" w:eastAsiaTheme="minorEastAsia"/>
                <w:kern w:val="0"/>
                <w:sz w:val="24"/>
              </w:rPr>
              <w:t>支持二层VxLAN、支持三层VxLAN、支持EVPN</w:t>
            </w:r>
            <w:r>
              <w:rPr>
                <w:rFonts w:hint="eastAsia" w:cs="宋体" w:asciiTheme="minorEastAsia" w:hAnsiTheme="minorEastAsia" w:eastAsiaTheme="minorEastAsia"/>
                <w:sz w:val="24"/>
              </w:rPr>
              <w:t>，提供工信部权威第三机构测试报告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7</w:t>
            </w:r>
          </w:p>
        </w:tc>
        <w:tc>
          <w:tcPr>
            <w:tcW w:w="8363" w:type="dxa"/>
          </w:tcPr>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最大堆叠台数≥9台</w:t>
            </w:r>
          </w:p>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最大堆叠带宽≥160G</w:t>
            </w:r>
          </w:p>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支持跨设备链路聚合，单一IP管理，分布式弹性路由</w:t>
            </w:r>
          </w:p>
          <w:p>
            <w:pPr>
              <w:widowControl/>
              <w:jc w:val="left"/>
              <w:rPr>
                <w:rFonts w:cs="宋体" w:asciiTheme="minorEastAsia" w:hAnsiTheme="minorEastAsia" w:eastAsiaTheme="minorEastAsia"/>
                <w:sz w:val="24"/>
              </w:rPr>
            </w:pPr>
            <w:r>
              <w:rPr>
                <w:rFonts w:hint="eastAsia" w:cs="宋体" w:asciiTheme="minorEastAsia" w:hAnsiTheme="minorEastAsia" w:eastAsiaTheme="minorEastAsia"/>
                <w:kern w:val="0"/>
                <w:sz w:val="24"/>
              </w:rPr>
              <w:t>支持通过标准以太端口进行堆叠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8</w:t>
            </w:r>
          </w:p>
        </w:tc>
        <w:tc>
          <w:tcPr>
            <w:tcW w:w="8363" w:type="dxa"/>
          </w:tcPr>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▲为保证本次</w:t>
            </w:r>
            <w:r>
              <w:rPr>
                <w:rFonts w:cs="宋体" w:asciiTheme="minorEastAsia" w:hAnsiTheme="minorEastAsia" w:eastAsiaTheme="minorEastAsia"/>
                <w:kern w:val="0"/>
                <w:sz w:val="24"/>
              </w:rPr>
              <w:t>建设的</w:t>
            </w:r>
            <w:r>
              <w:rPr>
                <w:rFonts w:hint="eastAsia" w:cs="宋体" w:asciiTheme="minorEastAsia" w:hAnsiTheme="minorEastAsia" w:eastAsiaTheme="minorEastAsia"/>
                <w:kern w:val="0"/>
                <w:sz w:val="24"/>
              </w:rPr>
              <w:t>业务提供服务时，具备安全可靠能力和数据安全加固能力，投标产品厂商须在安全漏洞方面的整体研究水平和及时预防能力，具备网络安全漏洞统一收集验证、预警发布及应急处理体系，进而提高产品的安全性。要求本次投标设备厂家须为国家信息安全漏洞库(CNVD)技术组成员，提供证书复印件并原厂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9</w:t>
            </w:r>
          </w:p>
        </w:tc>
        <w:tc>
          <w:tcPr>
            <w:tcW w:w="8363" w:type="dxa"/>
          </w:tcPr>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支持基于端口的VLAN，支持基于协议的VLAN；</w:t>
            </w:r>
          </w:p>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支持基于MAC的VLAN；</w:t>
            </w:r>
          </w:p>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最大VLAN数(不是VLAN ID) ≥4094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10</w:t>
            </w:r>
          </w:p>
        </w:tc>
        <w:tc>
          <w:tcPr>
            <w:tcW w:w="8363" w:type="dxa"/>
          </w:tcPr>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支持最多8个GE口或4个10 GE端口聚合；支持最多128个聚合组；支持LACP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11</w:t>
            </w:r>
          </w:p>
        </w:tc>
        <w:tc>
          <w:tcPr>
            <w:tcW w:w="8363" w:type="dxa"/>
          </w:tcPr>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支持802.1ae Macsec安全加密，实现MAC层安全加密，包括用户数据加密、数据帧完整性检查及数据源真实性校验。无需软件授权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12</w:t>
            </w:r>
          </w:p>
        </w:tc>
        <w:tc>
          <w:tcPr>
            <w:tcW w:w="8363" w:type="dxa"/>
          </w:tcPr>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sz w:val="24"/>
              </w:rPr>
              <w:t>▲支持设备的蓝牙连接管理功能，提供工信部权威第三机构测试报告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13</w:t>
            </w:r>
          </w:p>
        </w:tc>
        <w:tc>
          <w:tcPr>
            <w:tcW w:w="8363" w:type="dxa"/>
          </w:tcPr>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支持VRRPv2/v3（虚拟路由冗余协议)；</w:t>
            </w:r>
          </w:p>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支持RRPP（快速环网保护协议），环网故障恢复时间不超过200ms；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14</w:t>
            </w:r>
          </w:p>
        </w:tc>
        <w:tc>
          <w:tcPr>
            <w:tcW w:w="8363" w:type="dxa"/>
          </w:tcPr>
          <w:p>
            <w:pPr>
              <w:widowControl/>
              <w:jc w:val="left"/>
              <w:rPr>
                <w:rFonts w:cs="宋体" w:asciiTheme="minorEastAsia" w:hAnsiTheme="minorEastAsia" w:eastAsiaTheme="minorEastAsia"/>
                <w:kern w:val="0"/>
                <w:sz w:val="24"/>
              </w:rPr>
            </w:pPr>
            <w:r>
              <w:rPr>
                <w:rFonts w:hint="eastAsia" w:cs="宋体" w:asciiTheme="minorEastAsia" w:hAnsiTheme="minorEastAsia" w:eastAsiaTheme="minorEastAsia"/>
                <w:sz w:val="24"/>
              </w:rPr>
              <w:t>▲支持内置智能网管中心功能，以设备内置及图形化操作的方式，实现对网络的统一运维及管理，包括设备角色选定、FTP服务器配置、全局配置及网管口配置等；支持智能运维功能，主要包括组管理、设备或组升级备份、监控及设备故障替换等；支持视化功能，主要包括组网拓扑可视及管理、设备列表展示等，提供官网链接及截图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15</w:t>
            </w:r>
          </w:p>
        </w:tc>
        <w:tc>
          <w:tcPr>
            <w:tcW w:w="8363" w:type="dxa"/>
          </w:tcPr>
          <w:p>
            <w:pPr>
              <w:widowControl/>
              <w:jc w:val="left"/>
              <w:rPr>
                <w:rFonts w:cs="宋体" w:asciiTheme="minorEastAsia" w:hAnsiTheme="minorEastAsia" w:eastAsiaTheme="minorEastAsia"/>
                <w:sz w:val="24"/>
              </w:rPr>
            </w:pPr>
            <w:r>
              <w:rPr>
                <w:rFonts w:hint="eastAsia" w:asciiTheme="minorEastAsia" w:hAnsiTheme="minorEastAsia" w:eastAsiaTheme="minorEastAsia"/>
                <w:color w:val="000000" w:themeColor="text1"/>
                <w:sz w:val="24"/>
              </w:rPr>
              <w:t>▲为了保证本次</w:t>
            </w:r>
            <w:r>
              <w:rPr>
                <w:rFonts w:asciiTheme="minorEastAsia" w:hAnsiTheme="minorEastAsia" w:eastAsiaTheme="minorEastAsia"/>
                <w:color w:val="000000" w:themeColor="text1"/>
                <w:sz w:val="24"/>
              </w:rPr>
              <w:t>建设项目</w:t>
            </w:r>
            <w:r>
              <w:rPr>
                <w:rFonts w:hint="eastAsia" w:asciiTheme="minorEastAsia" w:hAnsiTheme="minorEastAsia" w:eastAsiaTheme="minorEastAsia"/>
                <w:color w:val="000000" w:themeColor="text1"/>
                <w:sz w:val="24"/>
              </w:rPr>
              <w:t>的</w:t>
            </w:r>
            <w:r>
              <w:rPr>
                <w:rFonts w:asciiTheme="minorEastAsia" w:hAnsiTheme="minorEastAsia" w:eastAsiaTheme="minorEastAsia"/>
                <w:color w:val="000000" w:themeColor="text1"/>
                <w:sz w:val="24"/>
              </w:rPr>
              <w:t>投标</w:t>
            </w:r>
            <w:r>
              <w:rPr>
                <w:rFonts w:hint="eastAsia" w:asciiTheme="minorEastAsia" w:hAnsiTheme="minorEastAsia" w:eastAsiaTheme="minorEastAsia"/>
                <w:color w:val="000000" w:themeColor="text1"/>
                <w:sz w:val="24"/>
              </w:rPr>
              <w:t>产品稳定及可靠，当出现故障问题时，产品制造厂商应具备快速响应及解决故障问题的服务能力，因此需具有完善的售后服务体系，专业的售后服务专业队伍，健全的售后服务制度和质量监测体系。通过服务体系完善程度认证并获得七星级，要求提供证书复印件并原厂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16</w:t>
            </w:r>
          </w:p>
        </w:tc>
        <w:tc>
          <w:tcPr>
            <w:tcW w:w="8363" w:type="dxa"/>
          </w:tcPr>
          <w:p>
            <w:pPr>
              <w:widowControl/>
              <w:jc w:val="left"/>
              <w:rPr>
                <w:rFonts w:asciiTheme="minorEastAsia" w:hAnsiTheme="minorEastAsia" w:eastAsiaTheme="minorEastAsia"/>
                <w:color w:val="000000" w:themeColor="text1"/>
                <w:sz w:val="24"/>
              </w:rPr>
            </w:pPr>
            <w:r>
              <w:rPr>
                <w:rFonts w:hint="eastAsia" w:asciiTheme="minorEastAsia" w:hAnsiTheme="minorEastAsia" w:eastAsiaTheme="minorEastAsia"/>
                <w:sz w:val="24"/>
              </w:rPr>
              <w:t>▲为</w:t>
            </w:r>
            <w:r>
              <w:rPr>
                <w:rFonts w:asciiTheme="minorEastAsia" w:hAnsiTheme="minorEastAsia" w:eastAsiaTheme="minorEastAsia"/>
                <w:sz w:val="24"/>
              </w:rPr>
              <w:t>保障项目</w:t>
            </w:r>
            <w:r>
              <w:rPr>
                <w:rFonts w:hint="eastAsia" w:asciiTheme="minorEastAsia" w:hAnsiTheme="minorEastAsia" w:eastAsiaTheme="minorEastAsia"/>
                <w:sz w:val="24"/>
              </w:rPr>
              <w:t>产品</w:t>
            </w:r>
            <w:r>
              <w:rPr>
                <w:rFonts w:asciiTheme="minorEastAsia" w:hAnsiTheme="minorEastAsia" w:eastAsiaTheme="minorEastAsia"/>
                <w:sz w:val="24"/>
              </w:rPr>
              <w:t>及</w:t>
            </w:r>
            <w:r>
              <w:rPr>
                <w:rFonts w:hint="eastAsia" w:asciiTheme="minorEastAsia" w:hAnsiTheme="minorEastAsia" w:eastAsiaTheme="minorEastAsia"/>
                <w:sz w:val="24"/>
              </w:rPr>
              <w:t>售后</w:t>
            </w:r>
            <w:r>
              <w:rPr>
                <w:rFonts w:asciiTheme="minorEastAsia" w:hAnsiTheme="minorEastAsia" w:eastAsiaTheme="minorEastAsia"/>
                <w:sz w:val="24"/>
              </w:rPr>
              <w:t>服务</w:t>
            </w:r>
            <w:r>
              <w:rPr>
                <w:rFonts w:hint="eastAsia" w:asciiTheme="minorEastAsia" w:hAnsiTheme="minorEastAsia" w:eastAsiaTheme="minorEastAsia"/>
                <w:sz w:val="24"/>
              </w:rPr>
              <w:t>的</w:t>
            </w:r>
            <w:r>
              <w:rPr>
                <w:rFonts w:asciiTheme="minorEastAsia" w:hAnsiTheme="minorEastAsia" w:eastAsiaTheme="minorEastAsia"/>
                <w:sz w:val="24"/>
              </w:rPr>
              <w:t>可靠</w:t>
            </w:r>
            <w:r>
              <w:rPr>
                <w:rFonts w:hint="eastAsia" w:asciiTheme="minorEastAsia" w:hAnsiTheme="minorEastAsia" w:eastAsiaTheme="minorEastAsia"/>
                <w:sz w:val="24"/>
              </w:rPr>
              <w:t>性，</w:t>
            </w:r>
            <w:r>
              <w:rPr>
                <w:rFonts w:asciiTheme="minorEastAsia" w:hAnsiTheme="minorEastAsia" w:eastAsiaTheme="minorEastAsia"/>
                <w:sz w:val="24"/>
              </w:rPr>
              <w:t>投标</w:t>
            </w:r>
            <w:r>
              <w:rPr>
                <w:rFonts w:hint="eastAsia" w:asciiTheme="minorEastAsia" w:hAnsiTheme="minorEastAsia" w:eastAsiaTheme="minorEastAsia"/>
                <w:sz w:val="24"/>
              </w:rPr>
              <w:t>产品</w:t>
            </w:r>
            <w:r>
              <w:rPr>
                <w:rFonts w:asciiTheme="minorEastAsia" w:hAnsiTheme="minorEastAsia" w:eastAsiaTheme="minorEastAsia"/>
                <w:sz w:val="24"/>
              </w:rPr>
              <w:t>需提供</w:t>
            </w:r>
            <w:r>
              <w:rPr>
                <w:rFonts w:hint="eastAsia" w:asciiTheme="minorEastAsia" w:hAnsiTheme="minorEastAsia" w:eastAsiaTheme="minorEastAsia"/>
                <w:sz w:val="24"/>
              </w:rPr>
              <w:t>产品原厂供货证明和售后服务承诺函，</w:t>
            </w:r>
            <w:r>
              <w:rPr>
                <w:rFonts w:asciiTheme="minorEastAsia" w:hAnsiTheme="minorEastAsia" w:eastAsiaTheme="minorEastAsia"/>
                <w:sz w:val="24"/>
              </w:rPr>
              <w:t>并</w:t>
            </w:r>
            <w:r>
              <w:rPr>
                <w:rFonts w:hint="eastAsia" w:asciiTheme="minorEastAsia" w:hAnsiTheme="minorEastAsia" w:eastAsiaTheme="minorEastAsia"/>
                <w:sz w:val="24"/>
              </w:rPr>
              <w:t>加盖</w:t>
            </w:r>
            <w:r>
              <w:rPr>
                <w:rFonts w:asciiTheme="minorEastAsia" w:hAnsiTheme="minorEastAsia" w:eastAsiaTheme="minorEastAsia"/>
                <w:sz w:val="24"/>
              </w:rPr>
              <w:t>原厂章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三</w:t>
            </w:r>
          </w:p>
        </w:tc>
        <w:tc>
          <w:tcPr>
            <w:tcW w:w="8363" w:type="dxa"/>
          </w:tcPr>
          <w:p>
            <w:pPr>
              <w:widowControl/>
              <w:jc w:val="left"/>
              <w:rPr>
                <w:rFonts w:asciiTheme="minorEastAsia" w:hAnsiTheme="minorEastAsia" w:eastAsiaTheme="minorEastAsia"/>
                <w:b/>
                <w:sz w:val="24"/>
              </w:rPr>
            </w:pPr>
            <w:r>
              <w:rPr>
                <w:rFonts w:hint="eastAsia"/>
                <w:b/>
              </w:rPr>
              <w:t>新增接入交换机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w:t>
            </w:r>
          </w:p>
        </w:tc>
        <w:tc>
          <w:tcPr>
            <w:tcW w:w="8363" w:type="dxa"/>
            <w:vAlign w:val="center"/>
          </w:tcPr>
          <w:p>
            <w:pPr>
              <w:widowControl/>
              <w:rPr>
                <w:rFonts w:ascii="宋体" w:hAnsi="宋体" w:cs="宋体"/>
                <w:sz w:val="24"/>
              </w:rPr>
            </w:pPr>
            <w:r>
              <w:rPr>
                <w:rFonts w:hint="eastAsia" w:ascii="宋体" w:hAnsi="宋体" w:cs="宋体"/>
                <w:sz w:val="24"/>
              </w:rPr>
              <w:t>交换容量≥336Gbps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2</w:t>
            </w:r>
          </w:p>
        </w:tc>
        <w:tc>
          <w:tcPr>
            <w:tcW w:w="8363" w:type="dxa"/>
            <w:vAlign w:val="center"/>
          </w:tcPr>
          <w:p>
            <w:pPr>
              <w:widowControl/>
              <w:rPr>
                <w:rFonts w:ascii="宋体" w:hAnsi="宋体" w:cs="宋体"/>
                <w:sz w:val="24"/>
              </w:rPr>
            </w:pPr>
            <w:r>
              <w:rPr>
                <w:rFonts w:hint="eastAsia" w:ascii="宋体" w:hAnsi="宋体" w:cs="宋体"/>
                <w:sz w:val="24"/>
              </w:rPr>
              <w:t>转发性能≥</w:t>
            </w:r>
            <w:r>
              <w:rPr>
                <w:rFonts w:ascii="宋体" w:hAnsi="宋体" w:cs="宋体"/>
                <w:sz w:val="24"/>
              </w:rPr>
              <w:t>66</w:t>
            </w:r>
            <w:r>
              <w:rPr>
                <w:rFonts w:hint="eastAsia" w:ascii="宋体" w:hAnsi="宋体" w:cs="宋体"/>
                <w:sz w:val="24"/>
              </w:rPr>
              <w:t xml:space="preserve">Mpps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3</w:t>
            </w:r>
          </w:p>
        </w:tc>
        <w:tc>
          <w:tcPr>
            <w:tcW w:w="8363" w:type="dxa"/>
            <w:vAlign w:val="center"/>
          </w:tcPr>
          <w:p>
            <w:pPr>
              <w:widowControl/>
              <w:rPr>
                <w:rFonts w:ascii="宋体" w:hAnsi="宋体" w:cs="宋体"/>
                <w:sz w:val="24"/>
              </w:rPr>
            </w:pPr>
            <w:r>
              <w:rPr>
                <w:rFonts w:hint="eastAsia" w:ascii="宋体" w:hAnsi="宋体" w:cs="宋体"/>
                <w:sz w:val="24"/>
              </w:rPr>
              <w:t>性能指标MAC地址表≥16K</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4</w:t>
            </w:r>
          </w:p>
        </w:tc>
        <w:tc>
          <w:tcPr>
            <w:tcW w:w="8363" w:type="dxa"/>
            <w:vAlign w:val="center"/>
          </w:tcPr>
          <w:p>
            <w:pPr>
              <w:widowControl/>
              <w:rPr>
                <w:rFonts w:ascii="宋体" w:hAnsi="宋体" w:cs="宋体"/>
                <w:sz w:val="24"/>
              </w:rPr>
            </w:pPr>
            <w:r>
              <w:rPr>
                <w:rFonts w:hint="eastAsia" w:ascii="宋体" w:hAnsi="宋体" w:cs="宋体"/>
                <w:sz w:val="24"/>
              </w:rPr>
              <w:t>接口类型</w:t>
            </w:r>
            <w:r>
              <w:rPr>
                <w:rFonts w:ascii="宋体" w:hAnsi="宋体" w:cs="宋体"/>
                <w:sz w:val="24"/>
              </w:rPr>
              <w:t>24*10/100/1000TX以太网端口+ 4</w:t>
            </w:r>
            <w:r>
              <w:rPr>
                <w:rFonts w:hint="eastAsia" w:ascii="宋体" w:hAnsi="宋体" w:cs="宋体"/>
                <w:sz w:val="24"/>
              </w:rPr>
              <w:t>个SF</w:t>
            </w:r>
            <w:r>
              <w:rPr>
                <w:rFonts w:ascii="宋体" w:hAnsi="宋体" w:cs="宋体"/>
                <w:sz w:val="24"/>
              </w:rPr>
              <w:t>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5</w:t>
            </w:r>
          </w:p>
        </w:tc>
        <w:tc>
          <w:tcPr>
            <w:tcW w:w="8363" w:type="dxa"/>
            <w:vAlign w:val="center"/>
          </w:tcPr>
          <w:p>
            <w:pPr>
              <w:widowControl/>
              <w:rPr>
                <w:rFonts w:ascii="宋体" w:hAnsi="宋体" w:cs="宋体"/>
                <w:sz w:val="24"/>
              </w:rPr>
            </w:pPr>
            <w:r>
              <w:rPr>
                <w:rFonts w:hint="eastAsia" w:ascii="宋体" w:hAnsi="宋体" w:cs="宋体"/>
                <w:sz w:val="24"/>
              </w:rPr>
              <w:t>▲为保证本项目的完善实施、严格按照要求落地，制造厂商均须具备良好的商业信誉，提供国家企业信用信息公示系统（网址：http://www.gsxt.gov.cn/）上行政处罚信息一栏的网站截图（带完整URL链接）证明，在“行政处罚内容“栏目内无行政处罚记录并加盖原厂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6</w:t>
            </w:r>
          </w:p>
        </w:tc>
        <w:tc>
          <w:tcPr>
            <w:tcW w:w="8363" w:type="dxa"/>
          </w:tcPr>
          <w:p>
            <w:pPr>
              <w:widowControl/>
              <w:rPr>
                <w:rFonts w:ascii="宋体" w:hAnsi="宋体" w:cs="宋体"/>
                <w:sz w:val="24"/>
              </w:rPr>
            </w:pPr>
            <w:r>
              <w:rPr>
                <w:rFonts w:hint="eastAsia" w:ascii="宋体" w:hAnsi="宋体" w:cs="宋体"/>
                <w:sz w:val="24"/>
              </w:rPr>
              <w:t>支持黑洞MAC地址</w:t>
            </w:r>
          </w:p>
          <w:p>
            <w:pPr>
              <w:widowControl/>
              <w:rPr>
                <w:rFonts w:ascii="宋体" w:hAnsi="宋体" w:cs="宋体"/>
                <w:sz w:val="24"/>
              </w:rPr>
            </w:pPr>
            <w:r>
              <w:rPr>
                <w:rFonts w:hint="eastAsia" w:ascii="宋体" w:hAnsi="宋体" w:cs="宋体"/>
                <w:sz w:val="24"/>
              </w:rPr>
              <w:t>支持设置端口MAC地址学习最大个数</w:t>
            </w:r>
          </w:p>
          <w:p>
            <w:pPr>
              <w:widowControl/>
              <w:rPr>
                <w:rFonts w:ascii="宋体" w:hAnsi="宋体" w:cs="宋体"/>
                <w:sz w:val="24"/>
              </w:rPr>
            </w:pPr>
            <w:r>
              <w:rPr>
                <w:rFonts w:hint="eastAsia" w:ascii="宋体" w:hAnsi="宋体" w:cs="宋体"/>
                <w:sz w:val="24"/>
              </w:rPr>
              <w:t>支持基于端口的VLAN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7</w:t>
            </w:r>
          </w:p>
        </w:tc>
        <w:tc>
          <w:tcPr>
            <w:tcW w:w="8363" w:type="dxa"/>
          </w:tcPr>
          <w:p>
            <w:pPr>
              <w:widowControl/>
              <w:rPr>
                <w:rFonts w:ascii="宋体" w:hAnsi="宋体" w:cs="宋体"/>
                <w:sz w:val="24"/>
              </w:rPr>
            </w:pPr>
            <w:r>
              <w:rPr>
                <w:rFonts w:hint="eastAsia" w:ascii="宋体" w:hAnsi="宋体" w:cs="宋体"/>
                <w:sz w:val="24"/>
              </w:rPr>
              <w:t>▲为了符合国家网络安全法的建设标准，建设的业务平台须具备网络安全等级保护建设扩展能力和与各安全产品良好的兼容及整改能力，本次建设产品制造商须具信息安全等级保护安全建设资质，须提供公安部颁发的信息安全等级保护安全建设服务机构能力评估合格证书复印件，并原厂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8</w:t>
            </w:r>
          </w:p>
        </w:tc>
        <w:tc>
          <w:tcPr>
            <w:tcW w:w="8363" w:type="dxa"/>
            <w:vAlign w:val="center"/>
          </w:tcPr>
          <w:p>
            <w:pPr>
              <w:pStyle w:val="122"/>
              <w:widowControl w:val="0"/>
              <w:numPr>
                <w:ilvl w:val="0"/>
                <w:numId w:val="0"/>
              </w:numPr>
              <w:snapToGrid w:val="0"/>
              <w:rPr>
                <w:rFonts w:ascii="宋体" w:hAnsi="宋体" w:cs="宋体"/>
                <w:kern w:val="2"/>
                <w:sz w:val="24"/>
                <w:szCs w:val="24"/>
              </w:rPr>
            </w:pPr>
            <w:r>
              <w:rPr>
                <w:rFonts w:hint="eastAsia" w:ascii="宋体" w:hAnsi="宋体" w:cs="宋体"/>
                <w:kern w:val="2"/>
                <w:sz w:val="24"/>
                <w:szCs w:val="24"/>
              </w:rPr>
              <w:t>支持GE端口聚合，支持静态聚合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9</w:t>
            </w:r>
          </w:p>
        </w:tc>
        <w:tc>
          <w:tcPr>
            <w:tcW w:w="8363" w:type="dxa"/>
            <w:vAlign w:val="center"/>
          </w:tcPr>
          <w:p>
            <w:pPr>
              <w:widowControl/>
              <w:rPr>
                <w:rFonts w:ascii="宋体" w:hAnsi="宋体" w:cs="宋体"/>
                <w:sz w:val="24"/>
              </w:rPr>
            </w:pPr>
            <w:r>
              <w:rPr>
                <w:rFonts w:hint="eastAsia" w:ascii="宋体" w:hAnsi="宋体" w:cs="宋体"/>
                <w:sz w:val="24"/>
              </w:rPr>
              <w:t>支持IPv4静态路由、RIP V1/V2、OSPF V1/V2/V3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10</w:t>
            </w:r>
          </w:p>
        </w:tc>
        <w:tc>
          <w:tcPr>
            <w:tcW w:w="8363" w:type="dxa"/>
            <w:vAlign w:val="center"/>
          </w:tcPr>
          <w:p>
            <w:pPr>
              <w:widowControl/>
              <w:rPr>
                <w:rFonts w:ascii="宋体" w:hAnsi="宋体" w:cs="宋体"/>
                <w:sz w:val="24"/>
              </w:rPr>
            </w:pPr>
            <w:r>
              <w:rPr>
                <w:rFonts w:hint="eastAsia" w:ascii="宋体" w:hAnsi="宋体" w:cs="宋体"/>
                <w:sz w:val="24"/>
              </w:rPr>
              <w:t>▲为了保证本次</w:t>
            </w:r>
            <w:r>
              <w:rPr>
                <w:rFonts w:ascii="宋体" w:hAnsi="宋体" w:cs="宋体"/>
                <w:sz w:val="24"/>
              </w:rPr>
              <w:t>建设项目</w:t>
            </w:r>
            <w:r>
              <w:rPr>
                <w:rFonts w:hint="eastAsia" w:ascii="宋体" w:hAnsi="宋体" w:cs="宋体"/>
                <w:sz w:val="24"/>
              </w:rPr>
              <w:t>的</w:t>
            </w:r>
            <w:r>
              <w:rPr>
                <w:rFonts w:ascii="宋体" w:hAnsi="宋体" w:cs="宋体"/>
                <w:sz w:val="24"/>
              </w:rPr>
              <w:t>投标</w:t>
            </w:r>
            <w:r>
              <w:rPr>
                <w:rFonts w:hint="eastAsia" w:ascii="宋体" w:hAnsi="宋体" w:cs="宋体"/>
                <w:sz w:val="24"/>
              </w:rPr>
              <w:t>产品稳定及可靠，当出现故障问题时，产品制造厂商应具备快速响应及解决故障问题的服务能力，因此需具有完善的售后服务体系，专业的售后服务专业队伍，健全的售后服务制度和质量监测体系。通过服务体系完善程度认证并获得七星级，要求提供证书复印件并原厂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11</w:t>
            </w:r>
          </w:p>
        </w:tc>
        <w:tc>
          <w:tcPr>
            <w:tcW w:w="8363" w:type="dxa"/>
            <w:vAlign w:val="center"/>
          </w:tcPr>
          <w:p>
            <w:pPr>
              <w:widowControl/>
              <w:rPr>
                <w:rFonts w:ascii="宋体" w:hAnsi="宋体" w:cs="宋体"/>
                <w:sz w:val="24"/>
              </w:rPr>
            </w:pPr>
            <w:r>
              <w:rPr>
                <w:rFonts w:hint="eastAsia" w:ascii="宋体" w:hAnsi="宋体" w:cs="宋体"/>
                <w:sz w:val="24"/>
              </w:rPr>
              <w:t>▲为</w:t>
            </w:r>
            <w:r>
              <w:rPr>
                <w:rFonts w:ascii="宋体" w:hAnsi="宋体" w:cs="宋体"/>
                <w:sz w:val="24"/>
              </w:rPr>
              <w:t>保障项目</w:t>
            </w:r>
            <w:r>
              <w:rPr>
                <w:rFonts w:hint="eastAsia" w:ascii="宋体" w:hAnsi="宋体" w:cs="宋体"/>
                <w:sz w:val="24"/>
              </w:rPr>
              <w:t>产品</w:t>
            </w:r>
            <w:r>
              <w:rPr>
                <w:rFonts w:ascii="宋体" w:hAnsi="宋体" w:cs="宋体"/>
                <w:sz w:val="24"/>
              </w:rPr>
              <w:t>及</w:t>
            </w:r>
            <w:r>
              <w:rPr>
                <w:rFonts w:hint="eastAsia" w:ascii="宋体" w:hAnsi="宋体" w:cs="宋体"/>
                <w:sz w:val="24"/>
              </w:rPr>
              <w:t>售后</w:t>
            </w:r>
            <w:r>
              <w:rPr>
                <w:rFonts w:ascii="宋体" w:hAnsi="宋体" w:cs="宋体"/>
                <w:sz w:val="24"/>
              </w:rPr>
              <w:t>服务</w:t>
            </w:r>
            <w:r>
              <w:rPr>
                <w:rFonts w:hint="eastAsia" w:ascii="宋体" w:hAnsi="宋体" w:cs="宋体"/>
                <w:sz w:val="24"/>
              </w:rPr>
              <w:t>的</w:t>
            </w:r>
            <w:r>
              <w:rPr>
                <w:rFonts w:ascii="宋体" w:hAnsi="宋体" w:cs="宋体"/>
                <w:sz w:val="24"/>
              </w:rPr>
              <w:t>可靠</w:t>
            </w:r>
            <w:r>
              <w:rPr>
                <w:rFonts w:hint="eastAsia" w:ascii="宋体" w:hAnsi="宋体" w:cs="宋体"/>
                <w:sz w:val="24"/>
              </w:rPr>
              <w:t>性，</w:t>
            </w:r>
            <w:r>
              <w:rPr>
                <w:rFonts w:ascii="宋体" w:hAnsi="宋体" w:cs="宋体"/>
                <w:sz w:val="24"/>
              </w:rPr>
              <w:t>投标</w:t>
            </w:r>
            <w:r>
              <w:rPr>
                <w:rFonts w:hint="eastAsia" w:ascii="宋体" w:hAnsi="宋体" w:cs="宋体"/>
                <w:sz w:val="24"/>
              </w:rPr>
              <w:t>产品</w:t>
            </w:r>
            <w:r>
              <w:rPr>
                <w:rFonts w:ascii="宋体" w:hAnsi="宋体" w:cs="宋体"/>
                <w:sz w:val="24"/>
              </w:rPr>
              <w:t>需提供</w:t>
            </w:r>
            <w:r>
              <w:rPr>
                <w:rFonts w:hint="eastAsia" w:ascii="宋体" w:hAnsi="宋体" w:cs="宋体"/>
                <w:sz w:val="24"/>
              </w:rPr>
              <w:t>产品原厂供货证明和售后服务承诺函，</w:t>
            </w:r>
            <w:r>
              <w:rPr>
                <w:rFonts w:ascii="宋体" w:hAnsi="宋体" w:cs="宋体"/>
                <w:sz w:val="24"/>
              </w:rPr>
              <w:t>并</w:t>
            </w:r>
            <w:r>
              <w:rPr>
                <w:rFonts w:hint="eastAsia" w:ascii="宋体" w:hAnsi="宋体" w:cs="宋体"/>
                <w:sz w:val="24"/>
              </w:rPr>
              <w:t>加盖</w:t>
            </w:r>
            <w:r>
              <w:rPr>
                <w:rFonts w:ascii="宋体" w:hAnsi="宋体" w:cs="宋体"/>
                <w:sz w:val="24"/>
              </w:rPr>
              <w:t>原厂章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12</w:t>
            </w:r>
          </w:p>
        </w:tc>
        <w:tc>
          <w:tcPr>
            <w:tcW w:w="8363" w:type="dxa"/>
            <w:vAlign w:val="center"/>
          </w:tcPr>
          <w:p>
            <w:pPr>
              <w:widowControl/>
              <w:rPr>
                <w:rFonts w:ascii="宋体" w:hAnsi="宋体" w:cs="宋体"/>
                <w:sz w:val="24"/>
              </w:rPr>
            </w:pPr>
            <w:r>
              <w:rPr>
                <w:rFonts w:hint="eastAsia" w:ascii="宋体" w:hAnsi="宋体" w:cs="宋体"/>
                <w:sz w:val="24"/>
              </w:rPr>
              <w:t>▲所投汇聚网络产品功耗不超过</w:t>
            </w:r>
            <w:r>
              <w:rPr>
                <w:rFonts w:ascii="宋体" w:hAnsi="宋体" w:cs="宋体"/>
                <w:sz w:val="24"/>
              </w:rPr>
              <w:t>120</w:t>
            </w:r>
            <w:r>
              <w:rPr>
                <w:rFonts w:hint="eastAsia" w:ascii="宋体" w:hAnsi="宋体" w:cs="宋体"/>
                <w:sz w:val="24"/>
              </w:rPr>
              <w:t>W</w:t>
            </w:r>
            <w:r>
              <w:rPr>
                <w:rFonts w:ascii="宋体" w:hAnsi="宋体" w:cs="宋体"/>
                <w:sz w:val="24"/>
              </w:rPr>
              <w:t>，</w:t>
            </w:r>
            <w:r>
              <w:rPr>
                <w:rFonts w:hint="eastAsia" w:ascii="宋体" w:hAnsi="宋体" w:cs="宋体"/>
                <w:sz w:val="24"/>
              </w:rPr>
              <w:t>满足低碳环保要求，通过ISO 14064温室气体核查，提供核查报告复印件并原厂盖章；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rPr>
                <w:b/>
              </w:rPr>
            </w:pPr>
            <w:r>
              <w:rPr>
                <w:rFonts w:hint="eastAsia"/>
                <w:b/>
              </w:rPr>
              <w:t>四</w:t>
            </w:r>
          </w:p>
        </w:tc>
        <w:tc>
          <w:tcPr>
            <w:tcW w:w="8363" w:type="dxa"/>
            <w:vAlign w:val="center"/>
          </w:tcPr>
          <w:p>
            <w:pPr>
              <w:widowControl/>
              <w:rPr>
                <w:rFonts w:ascii="宋体" w:hAnsi="宋体" w:cs="宋体"/>
                <w:b/>
                <w:sz w:val="24"/>
              </w:rPr>
            </w:pPr>
            <w:r>
              <w:rPr>
                <w:rFonts w:hint="eastAsia"/>
                <w:b/>
              </w:rPr>
              <w:t>万兆多模光模块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w:t>
            </w:r>
          </w:p>
        </w:tc>
        <w:tc>
          <w:tcPr>
            <w:tcW w:w="8363" w:type="dxa"/>
          </w:tcPr>
          <w:p>
            <w:pPr>
              <w:widowControl/>
              <w:jc w:val="left"/>
              <w:rPr>
                <w:rFonts w:asciiTheme="minorEastAsia" w:hAnsiTheme="minorEastAsia" w:eastAsiaTheme="minorEastAsia"/>
                <w:sz w:val="24"/>
              </w:rPr>
            </w:pPr>
            <w:r>
              <w:rPr>
                <w:rFonts w:hint="eastAsia" w:ascii="宋体" w:hAnsi="宋体" w:cs="宋体"/>
                <w:kern w:val="0"/>
                <w:sz w:val="24"/>
              </w:rPr>
              <w:t>SFP+ 万兆模块(850nm,300m,LC)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rPr>
                <w:b/>
              </w:rPr>
            </w:pPr>
            <w:r>
              <w:rPr>
                <w:rFonts w:hint="eastAsia"/>
                <w:b/>
              </w:rPr>
              <w:t>五</w:t>
            </w:r>
          </w:p>
        </w:tc>
        <w:tc>
          <w:tcPr>
            <w:tcW w:w="8363" w:type="dxa"/>
          </w:tcPr>
          <w:p>
            <w:pPr>
              <w:widowControl/>
              <w:jc w:val="left"/>
              <w:rPr>
                <w:rFonts w:asciiTheme="minorEastAsia" w:hAnsiTheme="minorEastAsia" w:eastAsiaTheme="minorEastAsia"/>
                <w:b/>
                <w:sz w:val="24"/>
              </w:rPr>
            </w:pPr>
            <w:r>
              <w:rPr>
                <w:rFonts w:hint="eastAsia" w:asciiTheme="minorEastAsia" w:hAnsiTheme="minorEastAsia" w:eastAsiaTheme="minorEastAsia"/>
                <w:b/>
                <w:sz w:val="24"/>
              </w:rPr>
              <w:t>万兆单模光模块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pPr>
              <w:jc w:val="center"/>
            </w:pPr>
            <w:r>
              <w:rPr>
                <w:rFonts w:hint="eastAsia"/>
              </w:rPr>
              <w:t>1</w:t>
            </w:r>
          </w:p>
        </w:tc>
        <w:tc>
          <w:tcPr>
            <w:tcW w:w="8363" w:type="dxa"/>
          </w:tcPr>
          <w:p>
            <w:pPr>
              <w:widowControl/>
              <w:jc w:val="left"/>
              <w:rPr>
                <w:rFonts w:asciiTheme="minorEastAsia" w:hAnsiTheme="minorEastAsia" w:eastAsiaTheme="minorEastAsia"/>
                <w:sz w:val="24"/>
              </w:rPr>
            </w:pPr>
            <w:r>
              <w:rPr>
                <w:rFonts w:hint="eastAsia" w:ascii="宋体" w:hAnsi="宋体" w:cs="宋体"/>
                <w:kern w:val="0"/>
                <w:sz w:val="24"/>
              </w:rPr>
              <w:t>FP+ 万兆模块(1310nm,10km,LC)</w:t>
            </w:r>
          </w:p>
        </w:tc>
      </w:tr>
    </w:tbl>
    <w:p/>
    <w:p>
      <w:pPr>
        <w:pStyle w:val="2"/>
        <w:pageBreakBefore/>
        <w:tabs>
          <w:tab w:val="left" w:pos="1080"/>
        </w:tabs>
        <w:spacing w:beforeLines="0"/>
        <w:ind w:left="862" w:hanging="431"/>
        <w:contextualSpacing/>
        <w:rPr>
          <w:rFonts w:ascii="宋体" w:hAnsi="宋体"/>
          <w:b/>
          <w:bCs/>
          <w:sz w:val="44"/>
          <w:szCs w:val="44"/>
        </w:rPr>
      </w:pPr>
      <w:bookmarkStart w:id="62" w:name="_Toc58858385"/>
      <w:bookmarkStart w:id="63" w:name="_Toc58830784"/>
      <w:bookmarkStart w:id="64" w:name="_Toc58830661"/>
      <w:r>
        <w:rPr>
          <w:rFonts w:hint="eastAsia" w:ascii="宋体" w:hAnsi="宋体"/>
          <w:b/>
          <w:bCs/>
          <w:sz w:val="44"/>
          <w:szCs w:val="44"/>
        </w:rPr>
        <w:t>服务要求</w:t>
      </w:r>
      <w:bookmarkEnd w:id="62"/>
      <w:bookmarkEnd w:id="63"/>
      <w:bookmarkEnd w:id="64"/>
    </w:p>
    <w:p>
      <w:pPr>
        <w:spacing w:line="360" w:lineRule="auto"/>
        <w:rPr>
          <w:rFonts w:ascii="宋体" w:hAnsi="宋体" w:cs="仿宋"/>
          <w:b/>
          <w:bCs/>
          <w:sz w:val="24"/>
        </w:rPr>
      </w:pPr>
      <w:r>
        <w:rPr>
          <w:rFonts w:hint="eastAsia" w:ascii="仿宋" w:hAnsi="仿宋" w:eastAsia="仿宋" w:cs="仿宋"/>
          <w:b/>
          <w:bCs/>
          <w:sz w:val="24"/>
        </w:rPr>
        <w:t>1）</w:t>
      </w:r>
      <w:r>
        <w:rPr>
          <w:rFonts w:hint="eastAsia" w:ascii="宋体" w:hAnsi="宋体" w:cs="仿宋"/>
          <w:b/>
          <w:bCs/>
          <w:sz w:val="24"/>
        </w:rPr>
        <w:t>售后服务</w:t>
      </w:r>
    </w:p>
    <w:p>
      <w:pPr>
        <w:spacing w:line="360" w:lineRule="auto"/>
        <w:rPr>
          <w:rFonts w:ascii="宋体" w:hAnsi="宋体" w:cs="仿宋"/>
          <w:sz w:val="24"/>
        </w:rPr>
      </w:pPr>
      <w:r>
        <w:rPr>
          <w:rFonts w:hint="eastAsia" w:ascii="宋体" w:hAnsi="宋体" w:cs="仿宋"/>
          <w:sz w:val="24"/>
        </w:rPr>
        <w:t xml:space="preserve">1. 供应商须提供不低于36个月的售后服务（含软件、硬件），服务响应时间为全年7*24小时，4小时响应。工作期间（正常工作日8：00-18：00）软件故障响应时间不超过1小时，到达现场时间不超过4小时；非工作期间软件故障响应时间不超过2小时，到达现场时间不超过12小时。如果设备故障在检修8个工作小时后仍无法排除，供应商应在24小时内提供不低于故障设备故障规格、型号、性能的备用设备使用，直至故障设备修复。 </w:t>
      </w:r>
    </w:p>
    <w:p>
      <w:pPr>
        <w:spacing w:line="360" w:lineRule="auto"/>
        <w:rPr>
          <w:rFonts w:ascii="宋体" w:hAnsi="宋体" w:cs="仿宋"/>
          <w:sz w:val="24"/>
        </w:rPr>
      </w:pPr>
      <w:r>
        <w:rPr>
          <w:rFonts w:hint="eastAsia" w:ascii="宋体" w:hAnsi="宋体" w:cs="仿宋"/>
          <w:sz w:val="24"/>
        </w:rPr>
        <w:t xml:space="preserve">2. 供应商所投产品提供原厂的服务，有原厂的项目实施和售后服务专业人员。 </w:t>
      </w:r>
    </w:p>
    <w:p>
      <w:pPr>
        <w:spacing w:line="360" w:lineRule="auto"/>
        <w:rPr>
          <w:rFonts w:ascii="宋体" w:hAnsi="宋体" w:cs="仿宋"/>
          <w:sz w:val="24"/>
        </w:rPr>
      </w:pPr>
      <w:r>
        <w:rPr>
          <w:rFonts w:hint="eastAsia" w:ascii="宋体" w:hAnsi="宋体" w:cs="仿宋"/>
          <w:sz w:val="24"/>
        </w:rPr>
        <w:t xml:space="preserve">3. 原厂商在国内设有软件研发中心、技术支持中心和远程服务中心，提供相关证明材料。 </w:t>
      </w:r>
    </w:p>
    <w:p>
      <w:pPr>
        <w:spacing w:line="360" w:lineRule="auto"/>
        <w:rPr>
          <w:rFonts w:ascii="宋体" w:hAnsi="宋体" w:cs="仿宋"/>
          <w:sz w:val="24"/>
        </w:rPr>
      </w:pPr>
      <w:r>
        <w:rPr>
          <w:rFonts w:hint="eastAsia" w:ascii="宋体" w:hAnsi="宋体" w:cs="仿宋"/>
          <w:sz w:val="24"/>
        </w:rPr>
        <w:t xml:space="preserve">4. 为保证设备正常使用和日常运营维护，中标供应商需向采购人提供详细的设备维护资料以及相关技术资料，并需安排对采购人设备管理人员和操作人员进行技术培训。 </w:t>
      </w:r>
    </w:p>
    <w:p>
      <w:pPr>
        <w:spacing w:line="360" w:lineRule="auto"/>
        <w:rPr>
          <w:rFonts w:ascii="宋体" w:hAnsi="宋体" w:cs="仿宋"/>
          <w:b/>
          <w:bCs/>
          <w:sz w:val="24"/>
        </w:rPr>
      </w:pPr>
      <w:r>
        <w:rPr>
          <w:rFonts w:hint="eastAsia" w:ascii="宋体" w:hAnsi="宋体" w:cs="仿宋"/>
          <w:b/>
          <w:bCs/>
          <w:sz w:val="24"/>
        </w:rPr>
        <w:t xml:space="preserve">2）技术培训 </w:t>
      </w:r>
    </w:p>
    <w:p>
      <w:pPr>
        <w:spacing w:line="360" w:lineRule="auto"/>
        <w:rPr>
          <w:rFonts w:ascii="宋体" w:hAnsi="宋体" w:cs="仿宋"/>
          <w:sz w:val="24"/>
        </w:rPr>
      </w:pPr>
      <w:r>
        <w:rPr>
          <w:rFonts w:hint="eastAsia" w:ascii="宋体" w:hAnsi="宋体" w:cs="仿宋"/>
          <w:sz w:val="24"/>
        </w:rPr>
        <w:t xml:space="preserve">1. 技术培训要求： </w:t>
      </w:r>
    </w:p>
    <w:p>
      <w:pPr>
        <w:spacing w:line="360" w:lineRule="auto"/>
        <w:rPr>
          <w:rFonts w:ascii="宋体" w:hAnsi="宋体" w:cs="仿宋"/>
          <w:sz w:val="24"/>
        </w:rPr>
      </w:pPr>
      <w:r>
        <w:rPr>
          <w:rFonts w:hint="eastAsia" w:ascii="宋体" w:hAnsi="宋体" w:cs="仿宋"/>
          <w:sz w:val="24"/>
        </w:rPr>
        <w:t xml:space="preserve">供应商应提供详细的培训教材和技术资料，负责对使用方的使用人员进行技术培训，以便使工作人员在培训后能熟练地掌握维护管理软件及硬件维护工作，并能及时排除大部分的设备障碍，完成自主开发的应用软件的接入。 </w:t>
      </w:r>
    </w:p>
    <w:p>
      <w:pPr>
        <w:spacing w:line="360" w:lineRule="auto"/>
        <w:rPr>
          <w:rFonts w:ascii="宋体" w:hAnsi="宋体" w:cs="仿宋"/>
          <w:sz w:val="24"/>
        </w:rPr>
      </w:pPr>
      <w:r>
        <w:rPr>
          <w:rFonts w:hint="eastAsia" w:ascii="宋体" w:hAnsi="宋体" w:cs="仿宋"/>
          <w:sz w:val="24"/>
        </w:rPr>
        <w:t xml:space="preserve">2. 培训方式和内容： </w:t>
      </w:r>
    </w:p>
    <w:p>
      <w:pPr>
        <w:spacing w:line="360" w:lineRule="auto"/>
        <w:rPr>
          <w:rFonts w:ascii="宋体" w:hAnsi="宋体" w:cs="仿宋"/>
          <w:sz w:val="24"/>
        </w:rPr>
      </w:pPr>
      <w:r>
        <w:rPr>
          <w:rFonts w:hint="eastAsia" w:ascii="宋体" w:hAnsi="宋体" w:cs="仿宋"/>
          <w:sz w:val="24"/>
        </w:rPr>
        <w:t>供应商提供现场培训与到厂方培训相结合的培训方式，对使用方使用人员进行日常操作及维护培训。培训内容应涉及硬件、控制软件和应用软件等，包括设备的调整和运行操作，接口软件的开发，正常的维护和维修等内容。</w:t>
      </w:r>
    </w:p>
    <w:p>
      <w:pPr>
        <w:pStyle w:val="2"/>
        <w:pageBreakBefore/>
        <w:tabs>
          <w:tab w:val="left" w:pos="1080"/>
        </w:tabs>
        <w:spacing w:beforeLines="0"/>
        <w:ind w:left="862" w:hanging="431"/>
        <w:contextualSpacing/>
        <w:rPr>
          <w:rFonts w:ascii="宋体" w:hAnsi="宋体"/>
          <w:b/>
          <w:bCs/>
          <w:sz w:val="44"/>
          <w:szCs w:val="44"/>
        </w:rPr>
      </w:pPr>
      <w:bookmarkStart w:id="65" w:name="_Toc58858386"/>
      <w:bookmarkStart w:id="66" w:name="_Toc58830785"/>
      <w:bookmarkStart w:id="67" w:name="_Toc58830662"/>
      <w:r>
        <w:rPr>
          <w:rFonts w:hint="eastAsia" w:ascii="宋体" w:hAnsi="宋体"/>
          <w:b/>
          <w:bCs/>
          <w:sz w:val="44"/>
          <w:szCs w:val="44"/>
        </w:rPr>
        <w:t>项目实施要求</w:t>
      </w:r>
      <w:bookmarkEnd w:id="65"/>
      <w:bookmarkEnd w:id="66"/>
      <w:bookmarkEnd w:id="67"/>
    </w:p>
    <w:p>
      <w:pPr>
        <w:spacing w:line="360" w:lineRule="auto"/>
        <w:rPr>
          <w:rFonts w:ascii="宋体" w:hAnsi="宋体" w:cs="仿宋"/>
          <w:sz w:val="24"/>
        </w:rPr>
      </w:pPr>
      <w:r>
        <w:rPr>
          <w:rFonts w:hint="eastAsia" w:ascii="宋体" w:hAnsi="宋体" w:cs="仿宋"/>
          <w:sz w:val="24"/>
        </w:rPr>
        <w:t>从合同签订日开始，15个工作日内完成该项目的所有内容。</w:t>
      </w:r>
    </w:p>
    <w:p>
      <w:pPr>
        <w:pStyle w:val="2"/>
        <w:spacing w:before="624"/>
        <w:rPr>
          <w:b/>
          <w:sz w:val="44"/>
          <w:szCs w:val="44"/>
        </w:rPr>
      </w:pPr>
      <w:bookmarkStart w:id="68" w:name="_Toc58858387"/>
      <w:bookmarkStart w:id="69" w:name="_Toc58830786"/>
      <w:bookmarkStart w:id="70" w:name="_Toc58830663"/>
      <w:r>
        <w:rPr>
          <w:rFonts w:hint="eastAsia"/>
          <w:b/>
          <w:sz w:val="44"/>
          <w:szCs w:val="44"/>
        </w:rPr>
        <w:t>安装</w:t>
      </w:r>
      <w:r>
        <w:rPr>
          <w:b/>
          <w:sz w:val="44"/>
          <w:szCs w:val="44"/>
        </w:rPr>
        <w:t>验收与要求</w:t>
      </w:r>
      <w:bookmarkEnd w:id="68"/>
      <w:bookmarkEnd w:id="69"/>
      <w:bookmarkEnd w:id="70"/>
    </w:p>
    <w:p>
      <w:pPr>
        <w:spacing w:line="360" w:lineRule="auto"/>
        <w:rPr>
          <w:rFonts w:cs="仿宋" w:asciiTheme="minorEastAsia" w:hAnsiTheme="minorEastAsia" w:eastAsiaTheme="minorEastAsia"/>
          <w:sz w:val="24"/>
        </w:rPr>
      </w:pPr>
      <w:r>
        <w:rPr>
          <w:rFonts w:hint="eastAsia" w:ascii="仿宋" w:hAnsi="仿宋" w:eastAsia="仿宋" w:cs="仿宋"/>
          <w:sz w:val="24"/>
        </w:rPr>
        <w:t xml:space="preserve">1. </w:t>
      </w:r>
      <w:r>
        <w:rPr>
          <w:rFonts w:hint="eastAsia" w:cs="仿宋" w:asciiTheme="minorEastAsia" w:hAnsiTheme="minorEastAsia" w:eastAsiaTheme="minorEastAsia"/>
          <w:sz w:val="24"/>
        </w:rPr>
        <w:t xml:space="preserve">质量标准：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供应商必须提供符合国家质量检测标准的全新、未使用过的货物，供应商必须负责设备的安装调试和培训，并提供设备使用说明书、软件等相关资料，必须提供设备的供货配置清单。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2. 包装: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设备包装均应有良好的防湿、防锈、防潮、防雨、防腐及防碰撞的措施。凡由于</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包装不良造成的损失和由此产生的费用均由中标供应商承担。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3. 交货地点：运输及卸车或安装至采购人指定地点。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4. 中标设备的安装调试：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4.1. 中标供应商负责合同项目下设备的安装调试，一切费用由中标供应商负责。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4.2. 中标供应商安装时必须对各安装场地内的其它设备、设施有良好保护措施。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5. 设备及软件的验收：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5.1. 项目整体实施完成并正常运行30日后进行验收，验收应在采购人和中标供应商共同参加下进行。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5.2. 验收按国家有关的规定、规范进行。验收时如发现所交付的设备有短装、次品、损坏或其它不符合招标文件规定之情形者，采购人应做出详尽的现场记录，或由采购人和中标供应商双方签署备忘录。此现场记录或备忘录可用作补充、缺失和更换损坏部件的有效证据。由此产生的有关费用由中标供应商承担。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5.3. 如果中标设备运输和安装调试过程中因事故造成货物短缺、损坏，中标供应商应及时安排换货，以保证中标设备安装调试的成功完成。换货的相关费用由中标供应商承担。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 xml:space="preserve">6. 系统各类文档验收 </w:t>
      </w:r>
    </w:p>
    <w:p>
      <w:pPr>
        <w:spacing w:line="360" w:lineRule="auto"/>
        <w:rPr>
          <w:rFonts w:cs="仿宋" w:asciiTheme="minorEastAsia" w:hAnsiTheme="minorEastAsia" w:eastAsiaTheme="minorEastAsia"/>
          <w:sz w:val="24"/>
        </w:rPr>
      </w:pPr>
      <w:r>
        <w:rPr>
          <w:rFonts w:hint="eastAsia" w:cs="仿宋" w:asciiTheme="minorEastAsia" w:hAnsiTheme="minorEastAsia" w:eastAsiaTheme="minorEastAsia"/>
          <w:sz w:val="24"/>
        </w:rPr>
        <w:t>验收时中标供应商需提供数据库结构、技术及人员培训计划、服务计划、系统管理员手册、用户手册、系统崩溃及恢复步骤、需求分析说明书、项目实施报告、项目总结报告、等文档。</w:t>
      </w:r>
    </w:p>
    <w:p>
      <w:pPr>
        <w:pStyle w:val="2"/>
        <w:spacing w:before="624"/>
        <w:rPr>
          <w:b/>
          <w:sz w:val="44"/>
          <w:szCs w:val="44"/>
        </w:rPr>
      </w:pPr>
      <w:bookmarkStart w:id="71" w:name="_Toc58858388"/>
      <w:bookmarkStart w:id="72" w:name="_Toc58830787"/>
      <w:bookmarkStart w:id="73" w:name="_Toc58830664"/>
      <w:r>
        <w:rPr>
          <w:rFonts w:hint="eastAsia"/>
          <w:b/>
          <w:sz w:val="44"/>
          <w:szCs w:val="44"/>
        </w:rPr>
        <w:t>保修期</w:t>
      </w:r>
      <w:bookmarkEnd w:id="71"/>
      <w:bookmarkEnd w:id="72"/>
      <w:bookmarkEnd w:id="73"/>
    </w:p>
    <w:p>
      <w:pPr>
        <w:spacing w:line="360" w:lineRule="auto"/>
        <w:rPr>
          <w:rFonts w:cs="仿宋" w:asciiTheme="minorEastAsia" w:hAnsiTheme="minorEastAsia" w:eastAsiaTheme="minorEastAsia"/>
          <w:sz w:val="24"/>
        </w:rPr>
      </w:pPr>
      <w:r>
        <w:rPr>
          <w:rFonts w:cs="仿宋" w:asciiTheme="minorEastAsia" w:hAnsiTheme="minorEastAsia" w:eastAsiaTheme="minorEastAsia"/>
          <w:sz w:val="24"/>
        </w:rPr>
        <w:t>所有产品需免费提供三</w:t>
      </w:r>
      <w:r>
        <w:rPr>
          <w:rFonts w:hint="eastAsia" w:cs="仿宋" w:asciiTheme="minorEastAsia" w:hAnsiTheme="minorEastAsia" w:eastAsiaTheme="minorEastAsia"/>
          <w:sz w:val="24"/>
        </w:rPr>
        <w:t>年保修，中标价已含保修的所有费用，中标供应商不得额外收费。</w:t>
      </w:r>
    </w:p>
    <w:sectPr>
      <w:footerReference r:id="rId4"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楷体_GB2312">
    <w:altName w:val="楷体"/>
    <w:panose1 w:val="00000000000000000000"/>
    <w:charset w:val="86"/>
    <w:family w:val="modern"/>
    <w:pitch w:val="default"/>
    <w:sig w:usb0="00000000" w:usb1="00000000" w:usb2="00000010" w:usb3="00000000" w:csb0="00040000" w:csb1="00000000"/>
  </w:font>
  <w:font w:name="Futura Hv">
    <w:altName w:val="Arial"/>
    <w:panose1 w:val="00000000000000000000"/>
    <w:charset w:val="00"/>
    <w:family w:val="swiss"/>
    <w:pitch w:val="default"/>
    <w:sig w:usb0="00000000" w:usb1="00000000" w:usb2="00000000" w:usb3="00000000" w:csb0="0000009F" w:csb1="00000000"/>
  </w:font>
  <w:font w:name="Futura Bk">
    <w:altName w:val="Arial Unicode MS"/>
    <w:panose1 w:val="00000000000000000000"/>
    <w:charset w:val="00"/>
    <w:family w:val="swiss"/>
    <w:pitch w:val="default"/>
    <w:sig w:usb0="00000000" w:usb1="00000000" w:usb2="00000010" w:usb3="00000000" w:csb0="0004009F" w:csb1="00000000"/>
  </w:font>
  <w:font w:name="Verdana">
    <w:panose1 w:val="020B0604030504040204"/>
    <w:charset w:val="00"/>
    <w:family w:val="swiss"/>
    <w:pitch w:val="default"/>
    <w:sig w:usb0="A10006FF" w:usb1="4000205B" w:usb2="00000010" w:usb3="00000000" w:csb0="2000019F" w:csb1="00000000"/>
  </w:font>
  <w:font w:name="Helvetica">
    <w:altName w:val="Arial"/>
    <w:panose1 w:val="020B0604020202020204"/>
    <w:charset w:val="00"/>
    <w:family w:val="swiss"/>
    <w:pitch w:val="default"/>
    <w:sig w:usb0="00000000" w:usb1="00000000" w:usb2="00000000" w:usb3="00000000" w:csb0="00000001" w:csb1="00000000"/>
  </w:font>
  <w:font w:name="Tahoma">
    <w:panose1 w:val="020B0604030504040204"/>
    <w:charset w:val="00"/>
    <w:family w:val="swiss"/>
    <w:pitch w:val="default"/>
    <w:sig w:usb0="E1002EFF" w:usb1="C000605B" w:usb2="00000029" w:usb3="00000000" w:csb0="200101FF" w:csb1="20280000"/>
  </w:font>
  <w:font w:name="Cambria">
    <w:panose1 w:val="02040503050406030204"/>
    <w:charset w:val="00"/>
    <w:family w:val="roman"/>
    <w:pitch w:val="default"/>
    <w:sig w:usb0="E00002FF" w:usb1="400004FF" w:usb2="00000000" w:usb3="00000000" w:csb0="2000019F" w:csb1="00000000"/>
  </w:font>
  <w:font w:name="Trebuchet MS">
    <w:panose1 w:val="020B0603020202020204"/>
    <w:charset w:val="00"/>
    <w:family w:val="swiss"/>
    <w:pitch w:val="default"/>
    <w:sig w:usb0="00000287" w:usb1="00000000" w:usb2="00000000" w:usb3="00000000" w:csb0="2000009F" w:csb1="00000000"/>
  </w:font>
  <w:font w:name="Calibri Light">
    <w:panose1 w:val="020F0302020204030204"/>
    <w:charset w:val="00"/>
    <w:family w:val="swiss"/>
    <w:pitch w:val="default"/>
    <w:sig w:usb0="A00002EF" w:usb1="4000207B" w:usb2="00000000" w:usb3="00000000" w:csb0="2000019F" w:csb1="00000000"/>
  </w:font>
  <w:font w:name="AdobeSongStd-Light">
    <w:altName w:val="Arial Unicode MS"/>
    <w:panose1 w:val="00000000000000000000"/>
    <w:charset w:val="50"/>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p>
  <w:p>
    <w:pPr>
      <w:pStyle w:val="2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63090029"/>
      <w:docPartObj>
        <w:docPartGallery w:val="AutoText"/>
      </w:docPartObj>
    </w:sdtPr>
    <w:sdtContent>
      <w:p>
        <w:pPr>
          <w:pStyle w:val="24"/>
          <w:jc w:val="center"/>
        </w:pPr>
        <w:r>
          <w:fldChar w:fldCharType="begin"/>
        </w:r>
        <w:r>
          <w:instrText xml:space="preserve">PAGE   \* MERGEFORMAT</w:instrText>
        </w:r>
        <w:r>
          <w:fldChar w:fldCharType="separate"/>
        </w:r>
        <w:r>
          <w:rPr>
            <w:lang w:val="zh-CN"/>
          </w:rPr>
          <w:t>1</w:t>
        </w:r>
        <w:r>
          <w:fldChar w:fldCharType="end"/>
        </w:r>
      </w:p>
    </w:sdtContent>
  </w:sdt>
  <w:p>
    <w:pPr>
      <w:pStyle w:val="2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0145B8"/>
    <w:multiLevelType w:val="multilevel"/>
    <w:tmpl w:val="1A0145B8"/>
    <w:lvl w:ilvl="0" w:tentative="0">
      <w:start w:val="1"/>
      <w:numFmt w:val="bullet"/>
      <w:pStyle w:val="81"/>
      <w:lvlText w:val=""/>
      <w:lvlJc w:val="left"/>
      <w:pPr>
        <w:tabs>
          <w:tab w:val="left" w:pos="840"/>
        </w:tabs>
        <w:ind w:left="840" w:hanging="420"/>
      </w:pPr>
      <w:rPr>
        <w:rFonts w:hint="default" w:ascii="Wingdings" w:hAnsi="Wingdings"/>
        <w:color w:val="000080"/>
        <w:sz w:val="15"/>
        <w:szCs w:val="15"/>
      </w:rPr>
    </w:lvl>
    <w:lvl w:ilvl="1" w:tentative="0">
      <w:start w:val="1"/>
      <w:numFmt w:val="bullet"/>
      <w:lvlText w:val=""/>
      <w:lvlJc w:val="left"/>
      <w:pPr>
        <w:tabs>
          <w:tab w:val="left" w:pos="1260"/>
        </w:tabs>
        <w:ind w:left="1260" w:hanging="420"/>
      </w:pPr>
      <w:rPr>
        <w:rFonts w:hint="default" w:ascii="Wingdings" w:hAnsi="Wingdings"/>
      </w:rPr>
    </w:lvl>
    <w:lvl w:ilvl="2" w:tentative="0">
      <w:start w:val="1"/>
      <w:numFmt w:val="bullet"/>
      <w:lvlText w:val=""/>
      <w:lvlJc w:val="left"/>
      <w:pPr>
        <w:tabs>
          <w:tab w:val="left" w:pos="1680"/>
        </w:tabs>
        <w:ind w:left="1680" w:hanging="420"/>
      </w:pPr>
      <w:rPr>
        <w:rFonts w:hint="default" w:ascii="Wingdings" w:hAnsi="Wingdings"/>
      </w:rPr>
    </w:lvl>
    <w:lvl w:ilvl="3" w:tentative="0">
      <w:start w:val="1"/>
      <w:numFmt w:val="bullet"/>
      <w:lvlText w:val=""/>
      <w:lvlJc w:val="left"/>
      <w:pPr>
        <w:tabs>
          <w:tab w:val="left" w:pos="2100"/>
        </w:tabs>
        <w:ind w:left="2100" w:hanging="420"/>
      </w:pPr>
      <w:rPr>
        <w:rFonts w:hint="default" w:ascii="Wingdings" w:hAnsi="Wingdings"/>
      </w:rPr>
    </w:lvl>
    <w:lvl w:ilvl="4" w:tentative="0">
      <w:start w:val="1"/>
      <w:numFmt w:val="bullet"/>
      <w:lvlText w:val=""/>
      <w:lvlJc w:val="left"/>
      <w:pPr>
        <w:tabs>
          <w:tab w:val="left" w:pos="2520"/>
        </w:tabs>
        <w:ind w:left="2520" w:hanging="420"/>
      </w:pPr>
      <w:rPr>
        <w:rFonts w:hint="default" w:ascii="Wingdings" w:hAnsi="Wingdings"/>
      </w:rPr>
    </w:lvl>
    <w:lvl w:ilvl="5" w:tentative="0">
      <w:start w:val="1"/>
      <w:numFmt w:val="bullet"/>
      <w:lvlText w:val=""/>
      <w:lvlJc w:val="left"/>
      <w:pPr>
        <w:tabs>
          <w:tab w:val="left" w:pos="2940"/>
        </w:tabs>
        <w:ind w:left="2940" w:hanging="420"/>
      </w:pPr>
      <w:rPr>
        <w:rFonts w:hint="default" w:ascii="Wingdings" w:hAnsi="Wingdings"/>
      </w:rPr>
    </w:lvl>
    <w:lvl w:ilvl="6" w:tentative="0">
      <w:start w:val="1"/>
      <w:numFmt w:val="bullet"/>
      <w:lvlText w:val=""/>
      <w:lvlJc w:val="left"/>
      <w:pPr>
        <w:tabs>
          <w:tab w:val="left" w:pos="3360"/>
        </w:tabs>
        <w:ind w:left="3360" w:hanging="420"/>
      </w:pPr>
      <w:rPr>
        <w:rFonts w:hint="default" w:ascii="Wingdings" w:hAnsi="Wingdings"/>
      </w:rPr>
    </w:lvl>
    <w:lvl w:ilvl="7" w:tentative="0">
      <w:start w:val="1"/>
      <w:numFmt w:val="bullet"/>
      <w:lvlText w:val=""/>
      <w:lvlJc w:val="left"/>
      <w:pPr>
        <w:tabs>
          <w:tab w:val="left" w:pos="3780"/>
        </w:tabs>
        <w:ind w:left="3780" w:hanging="420"/>
      </w:pPr>
      <w:rPr>
        <w:rFonts w:hint="default" w:ascii="Wingdings" w:hAnsi="Wingdings"/>
      </w:rPr>
    </w:lvl>
    <w:lvl w:ilvl="8" w:tentative="0">
      <w:start w:val="1"/>
      <w:numFmt w:val="bullet"/>
      <w:lvlText w:val=""/>
      <w:lvlJc w:val="left"/>
      <w:pPr>
        <w:tabs>
          <w:tab w:val="left" w:pos="4200"/>
        </w:tabs>
        <w:ind w:left="4200" w:hanging="420"/>
      </w:pPr>
      <w:rPr>
        <w:rFonts w:hint="default" w:ascii="Wingdings" w:hAnsi="Wingdings"/>
      </w:rPr>
    </w:lvl>
  </w:abstractNum>
  <w:abstractNum w:abstractNumId="1">
    <w:nsid w:val="42FE570A"/>
    <w:multiLevelType w:val="multilevel"/>
    <w:tmpl w:val="42FE570A"/>
    <w:lvl w:ilvl="0" w:tentative="0">
      <w:start w:val="1"/>
      <w:numFmt w:val="decimal"/>
      <w:suff w:val="nothing"/>
      <w:lvlText w:val="%1  "/>
      <w:lvlJc w:val="left"/>
      <w:pPr>
        <w:ind w:left="0" w:firstLine="0"/>
      </w:pPr>
      <w:rPr>
        <w:rFonts w:hint="default" w:ascii="Arial" w:hAnsi="Arial" w:eastAsia="黑体"/>
        <w:b w:val="0"/>
        <w:i w:val="0"/>
        <w:sz w:val="36"/>
        <w:szCs w:val="36"/>
      </w:rPr>
    </w:lvl>
    <w:lvl w:ilvl="1" w:tentative="0">
      <w:start w:val="1"/>
      <w:numFmt w:val="decimal"/>
      <w:suff w:val="nothing"/>
      <w:lvlText w:val="%1.%2  "/>
      <w:lvlJc w:val="left"/>
      <w:pPr>
        <w:ind w:left="0" w:firstLine="0"/>
      </w:pPr>
      <w:rPr>
        <w:rFonts w:hint="default" w:ascii="Arial" w:hAnsi="Arial"/>
        <w:b w:val="0"/>
        <w:i w:val="0"/>
        <w:sz w:val="30"/>
        <w:szCs w:val="30"/>
      </w:rPr>
    </w:lvl>
    <w:lvl w:ilvl="2" w:tentative="0">
      <w:start w:val="1"/>
      <w:numFmt w:val="decimal"/>
      <w:suff w:val="nothing"/>
      <w:lvlText w:val="%1.%2.%3  "/>
      <w:lvlJc w:val="left"/>
      <w:pPr>
        <w:ind w:left="0" w:firstLine="0"/>
      </w:pPr>
      <w:rPr>
        <w:rFonts w:hint="default" w:ascii="Arial" w:hAnsi="Arial"/>
        <w:b w:val="0"/>
        <w:i w:val="0"/>
        <w:sz w:val="24"/>
        <w:szCs w:val="24"/>
      </w:rPr>
    </w:lvl>
    <w:lvl w:ilvl="3" w:tentative="0">
      <w:start w:val="1"/>
      <w:numFmt w:val="decimal"/>
      <w:suff w:val="nothing"/>
      <w:lvlText w:val="%1.%2.%3.%4  "/>
      <w:lvlJc w:val="left"/>
      <w:pPr>
        <w:ind w:left="0" w:firstLine="0"/>
      </w:pPr>
      <w:rPr>
        <w:rFonts w:hint="default" w:ascii="Arial" w:hAnsi="Arial"/>
        <w:b w:val="0"/>
        <w:i w:val="0"/>
        <w:sz w:val="21"/>
        <w:szCs w:val="21"/>
      </w:rPr>
    </w:lvl>
    <w:lvl w:ilvl="4" w:tentative="0">
      <w:start w:val="1"/>
      <w:numFmt w:val="decimal"/>
      <w:lvlText w:val="%5."/>
      <w:lvlJc w:val="left"/>
      <w:pPr>
        <w:tabs>
          <w:tab w:val="left" w:pos="1134"/>
        </w:tabs>
        <w:ind w:left="1134" w:hanging="312"/>
      </w:pPr>
      <w:rPr>
        <w:rFonts w:hint="default" w:ascii="Arial" w:hAnsi="Arial"/>
        <w:b w:val="0"/>
        <w:i w:val="0"/>
        <w:sz w:val="21"/>
        <w:szCs w:val="21"/>
      </w:rPr>
    </w:lvl>
    <w:lvl w:ilvl="5" w:tentative="0">
      <w:start w:val="1"/>
      <w:numFmt w:val="decimal"/>
      <w:lvlText w:val="%6)"/>
      <w:lvlJc w:val="left"/>
      <w:pPr>
        <w:tabs>
          <w:tab w:val="left" w:pos="1134"/>
        </w:tabs>
        <w:ind w:left="1134" w:hanging="312"/>
      </w:pPr>
      <w:rPr>
        <w:rFonts w:hint="default" w:ascii="Arial" w:hAnsi="Arial"/>
        <w:b w:val="0"/>
        <w:i w:val="0"/>
        <w:sz w:val="21"/>
        <w:szCs w:val="21"/>
      </w:rPr>
    </w:lvl>
    <w:lvl w:ilvl="6" w:tentative="0">
      <w:start w:val="1"/>
      <w:numFmt w:val="lowerLetter"/>
      <w:lvlText w:val="%7."/>
      <w:lvlJc w:val="left"/>
      <w:pPr>
        <w:tabs>
          <w:tab w:val="left" w:pos="1134"/>
        </w:tabs>
        <w:ind w:left="1134" w:hanging="312"/>
      </w:pPr>
      <w:rPr>
        <w:rFonts w:hint="default" w:ascii="Arial" w:hAnsi="Arial"/>
        <w:b w:val="0"/>
        <w:i w:val="0"/>
        <w:sz w:val="21"/>
        <w:szCs w:val="21"/>
      </w:rPr>
    </w:lvl>
    <w:lvl w:ilvl="7" w:tentative="0">
      <w:start w:val="1"/>
      <w:numFmt w:val="decimal"/>
      <w:lvlRestart w:val="0"/>
      <w:pStyle w:val="107"/>
      <w:suff w:val="space"/>
      <w:lvlText w:val="图%8"/>
      <w:lvlJc w:val="center"/>
      <w:pPr>
        <w:ind w:left="0" w:firstLine="0"/>
      </w:pPr>
      <w:rPr>
        <w:rFonts w:hint="default" w:ascii="Arial" w:hAnsi="Arial" w:eastAsia="黑体"/>
        <w:b w:val="0"/>
        <w:i w:val="0"/>
        <w:sz w:val="21"/>
        <w:szCs w:val="21"/>
      </w:rPr>
    </w:lvl>
    <w:lvl w:ilvl="8" w:tentative="0">
      <w:start w:val="1"/>
      <w:numFmt w:val="decimal"/>
      <w:lvlRestart w:val="0"/>
      <w:suff w:val="space"/>
      <w:lvlText w:val="表%9"/>
      <w:lvlJc w:val="center"/>
      <w:pPr>
        <w:ind w:left="0" w:firstLine="0"/>
      </w:pPr>
      <w:rPr>
        <w:rFonts w:hint="default" w:ascii="Arial" w:hAnsi="Arial" w:eastAsia="黑体"/>
        <w:b w:val="0"/>
        <w:i w:val="0"/>
        <w:sz w:val="18"/>
        <w:szCs w:val="18"/>
      </w:rPr>
    </w:lvl>
  </w:abstractNum>
  <w:abstractNum w:abstractNumId="2">
    <w:nsid w:val="44121AA6"/>
    <w:multiLevelType w:val="multilevel"/>
    <w:tmpl w:val="44121AA6"/>
    <w:lvl w:ilvl="0" w:tentative="0">
      <w:start w:val="1"/>
      <w:numFmt w:val="decimal"/>
      <w:pStyle w:val="122"/>
      <w:lvlText w:val="(%1)"/>
      <w:lvlJc w:val="left"/>
      <w:pPr>
        <w:tabs>
          <w:tab w:val="left" w:pos="397"/>
        </w:tabs>
        <w:ind w:left="397" w:hanging="397"/>
      </w:pPr>
      <w:rPr>
        <w:rFonts w:hint="default" w:ascii="Arial" w:hAnsi="Arial" w:eastAsia="宋体"/>
        <w:b w:val="0"/>
        <w:i w:val="0"/>
        <w:color w:val="auto"/>
        <w:sz w:val="18"/>
        <w:szCs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4CA6530F"/>
    <w:multiLevelType w:val="multilevel"/>
    <w:tmpl w:val="4CA6530F"/>
    <w:lvl w:ilvl="0" w:tentative="0">
      <w:start w:val="1"/>
      <w:numFmt w:val="decimal"/>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E37518A"/>
    <w:multiLevelType w:val="multilevel"/>
    <w:tmpl w:val="4E37518A"/>
    <w:lvl w:ilvl="0" w:tentative="0">
      <w:start w:val="1"/>
      <w:numFmt w:val="bullet"/>
      <w:lvlText w:val=""/>
      <w:lvlJc w:val="left"/>
      <w:pPr>
        <w:tabs>
          <w:tab w:val="left" w:pos="1134"/>
        </w:tabs>
        <w:ind w:left="1134" w:hanging="510"/>
      </w:pPr>
      <w:rPr>
        <w:rFonts w:hint="default" w:ascii="Symbol" w:hAnsi="Symbol"/>
        <w:b/>
        <w:bCs w:val="0"/>
        <w:i w:val="0"/>
        <w:iCs w:val="0"/>
        <w:color w:val="auto"/>
        <w:sz w:val="20"/>
        <w:szCs w:val="20"/>
      </w:rPr>
    </w:lvl>
    <w:lvl w:ilvl="1" w:tentative="0">
      <w:start w:val="1"/>
      <w:numFmt w:val="bullet"/>
      <w:lvlText w:val=""/>
      <w:lvlJc w:val="left"/>
      <w:pPr>
        <w:tabs>
          <w:tab w:val="left" w:pos="1418"/>
        </w:tabs>
        <w:ind w:left="1418" w:hanging="284"/>
      </w:pPr>
      <w:rPr>
        <w:rFonts w:hint="default" w:ascii="Wingdings" w:hAnsi="Wingdings"/>
        <w:b w:val="0"/>
        <w:bCs w:val="0"/>
        <w:i w:val="0"/>
        <w:iCs w:val="0"/>
        <w:color w:val="auto"/>
        <w:sz w:val="12"/>
        <w:szCs w:val="20"/>
      </w:rPr>
    </w:lvl>
    <w:lvl w:ilvl="2" w:tentative="0">
      <w:start w:val="1"/>
      <w:numFmt w:val="bullet"/>
      <w:pStyle w:val="64"/>
      <w:lvlText w:val=""/>
      <w:lvlJc w:val="left"/>
      <w:pPr>
        <w:tabs>
          <w:tab w:val="left" w:pos="1701"/>
        </w:tabs>
        <w:ind w:left="1701" w:hanging="283"/>
      </w:pPr>
      <w:rPr>
        <w:rFonts w:hint="default" w:ascii="Symbol" w:hAnsi="Symbol"/>
        <w:b w:val="0"/>
        <w:bCs w:val="0"/>
        <w:i w:val="0"/>
        <w:iCs w:val="0"/>
        <w:color w:val="auto"/>
        <w:sz w:val="20"/>
        <w:szCs w:val="20"/>
      </w:rPr>
    </w:lvl>
    <w:lvl w:ilvl="3" w:tentative="0">
      <w:start w:val="1"/>
      <w:numFmt w:val="bullet"/>
      <w:lvlRestart w:val="0"/>
      <w:lvlText w:val=""/>
      <w:lvlJc w:val="left"/>
      <w:pPr>
        <w:tabs>
          <w:tab w:val="left" w:pos="284"/>
        </w:tabs>
        <w:ind w:left="284" w:hanging="284"/>
      </w:pPr>
      <w:rPr>
        <w:rFonts w:hint="default" w:ascii="Symbol" w:hAnsi="Symbol"/>
        <w:b w:val="0"/>
        <w:bCs w:val="0"/>
        <w:i w:val="0"/>
        <w:iCs w:val="0"/>
        <w:color w:val="auto"/>
        <w:sz w:val="20"/>
        <w:szCs w:val="20"/>
      </w:rPr>
    </w:lvl>
    <w:lvl w:ilvl="4" w:tentative="0">
      <w:start w:val="1"/>
      <w:numFmt w:val="bullet"/>
      <w:pStyle w:val="60"/>
      <w:lvlText w:val=""/>
      <w:lvlJc w:val="left"/>
      <w:pPr>
        <w:tabs>
          <w:tab w:val="left" w:pos="510"/>
        </w:tabs>
        <w:ind w:left="510" w:hanging="226"/>
      </w:pPr>
      <w:rPr>
        <w:rFonts w:hint="default" w:ascii="Wingdings" w:hAnsi="Wingdings"/>
        <w:b w:val="0"/>
        <w:bCs w:val="0"/>
        <w:i w:val="0"/>
        <w:iCs w:val="0"/>
        <w:color w:val="auto"/>
        <w:sz w:val="10"/>
        <w:szCs w:val="20"/>
      </w:rPr>
    </w:lvl>
    <w:lvl w:ilvl="5" w:tentative="0">
      <w:start w:val="1"/>
      <w:numFmt w:val="bullet"/>
      <w:lvlRestart w:val="0"/>
      <w:lvlText w:val=""/>
      <w:lvlJc w:val="left"/>
      <w:pPr>
        <w:tabs>
          <w:tab w:val="left" w:pos="284"/>
        </w:tabs>
        <w:ind w:left="284" w:hanging="284"/>
      </w:pPr>
      <w:rPr>
        <w:rFonts w:hint="default" w:ascii="Symbol" w:hAnsi="Symbol"/>
        <w:color w:val="auto"/>
        <w:sz w:val="20"/>
        <w:szCs w:val="20"/>
      </w:rPr>
    </w:lvl>
    <w:lvl w:ilvl="6" w:tentative="0">
      <w:start w:val="1"/>
      <w:numFmt w:val="none"/>
      <w:lvlText w:val="%7"/>
      <w:lvlJc w:val="left"/>
      <w:pPr>
        <w:tabs>
          <w:tab w:val="left" w:pos="323"/>
        </w:tabs>
        <w:ind w:left="323" w:firstLine="920"/>
      </w:pPr>
      <w:rPr>
        <w:color w:val="auto"/>
      </w:rPr>
    </w:lvl>
    <w:lvl w:ilvl="7" w:tentative="0">
      <w:start w:val="1"/>
      <w:numFmt w:val="none"/>
      <w:lvlText w:val="%8"/>
      <w:lvlJc w:val="left"/>
      <w:pPr>
        <w:tabs>
          <w:tab w:val="left" w:pos="323"/>
        </w:tabs>
        <w:ind w:left="323" w:firstLine="920"/>
      </w:pPr>
    </w:lvl>
    <w:lvl w:ilvl="8" w:tentative="0">
      <w:start w:val="1"/>
      <w:numFmt w:val="none"/>
      <w:lvlText w:val="%9"/>
      <w:lvlJc w:val="left"/>
      <w:pPr>
        <w:tabs>
          <w:tab w:val="left" w:pos="323"/>
        </w:tabs>
        <w:ind w:left="323" w:firstLine="920"/>
      </w:pPr>
    </w:lvl>
  </w:abstractNum>
  <w:abstractNum w:abstractNumId="5">
    <w:nsid w:val="5A0248A0"/>
    <w:multiLevelType w:val="multilevel"/>
    <w:tmpl w:val="5A0248A0"/>
    <w:lvl w:ilvl="0" w:tentative="0">
      <w:start w:val="1"/>
      <w:numFmt w:val="decimal"/>
      <w:pStyle w:val="2"/>
      <w:lvlText w:val="第%1章"/>
      <w:lvlJc w:val="left"/>
      <w:pPr>
        <w:tabs>
          <w:tab w:val="left" w:pos="574"/>
        </w:tabs>
        <w:ind w:left="574" w:hanging="432"/>
      </w:pPr>
      <w:rPr>
        <w:rFonts w:hint="eastAsia"/>
        <w:lang w:val="en-US"/>
      </w:rPr>
    </w:lvl>
    <w:lvl w:ilvl="1" w:tentative="0">
      <w:start w:val="1"/>
      <w:numFmt w:val="decimal"/>
      <w:pStyle w:val="3"/>
      <w:isLgl/>
      <w:lvlText w:val="%1.%2"/>
      <w:lvlJc w:val="left"/>
      <w:pPr>
        <w:tabs>
          <w:tab w:val="left" w:pos="718"/>
        </w:tabs>
        <w:ind w:left="718" w:hanging="576"/>
      </w:pPr>
      <w:rPr>
        <w:rFonts w:hint="eastAsia"/>
      </w:rPr>
    </w:lvl>
    <w:lvl w:ilvl="2" w:tentative="0">
      <w:start w:val="1"/>
      <w:numFmt w:val="decimal"/>
      <w:pStyle w:val="4"/>
      <w:isLgl/>
      <w:lvlText w:val="%1.%2.%3"/>
      <w:lvlJc w:val="left"/>
      <w:pPr>
        <w:tabs>
          <w:tab w:val="left" w:pos="862"/>
        </w:tabs>
        <w:ind w:left="862" w:hanging="720"/>
      </w:pPr>
      <w:rPr>
        <w:rFonts w:hint="eastAsia"/>
        <w:lang w:eastAsia="zh-CN"/>
      </w:rPr>
    </w:lvl>
    <w:lvl w:ilvl="3" w:tentative="0">
      <w:start w:val="1"/>
      <w:numFmt w:val="decimal"/>
      <w:pStyle w:val="5"/>
      <w:isLgl/>
      <w:lvlText w:val="%1.%2.%3.%4"/>
      <w:lvlJc w:val="left"/>
      <w:pPr>
        <w:tabs>
          <w:tab w:val="left" w:pos="1006"/>
        </w:tabs>
        <w:ind w:left="1006" w:hanging="864"/>
      </w:pPr>
      <w:rPr>
        <w:rFonts w:hint="eastAsia"/>
      </w:rPr>
    </w:lvl>
    <w:lvl w:ilvl="4" w:tentative="0">
      <w:start w:val="1"/>
      <w:numFmt w:val="decimal"/>
      <w:pStyle w:val="6"/>
      <w:isLgl/>
      <w:lvlText w:val="%1.%2.%3.%4.%5"/>
      <w:lvlJc w:val="left"/>
      <w:pPr>
        <w:tabs>
          <w:tab w:val="left" w:pos="1150"/>
        </w:tabs>
        <w:ind w:left="1150" w:hanging="1008"/>
      </w:pPr>
      <w:rPr>
        <w:rFonts w:hint="eastAsia"/>
      </w:rPr>
    </w:lvl>
    <w:lvl w:ilvl="5" w:tentative="0">
      <w:start w:val="1"/>
      <w:numFmt w:val="decimal"/>
      <w:pStyle w:val="7"/>
      <w:lvlText w:val="%1.%2.%3.%4.%5.%6"/>
      <w:lvlJc w:val="left"/>
      <w:pPr>
        <w:tabs>
          <w:tab w:val="left" w:pos="1294"/>
        </w:tabs>
        <w:ind w:left="1294" w:hanging="1152"/>
      </w:pPr>
      <w:rPr>
        <w:rFonts w:hint="eastAsia"/>
      </w:rPr>
    </w:lvl>
    <w:lvl w:ilvl="6" w:tentative="0">
      <w:start w:val="1"/>
      <w:numFmt w:val="decimal"/>
      <w:pStyle w:val="8"/>
      <w:lvlText w:val="%1.%2.%3.%4.%5.%6.%7"/>
      <w:lvlJc w:val="left"/>
      <w:pPr>
        <w:tabs>
          <w:tab w:val="left" w:pos="1438"/>
        </w:tabs>
        <w:ind w:left="1438" w:hanging="1296"/>
      </w:pPr>
      <w:rPr>
        <w:rFonts w:hint="eastAsia"/>
      </w:rPr>
    </w:lvl>
    <w:lvl w:ilvl="7" w:tentative="0">
      <w:start w:val="1"/>
      <w:numFmt w:val="decimal"/>
      <w:pStyle w:val="9"/>
      <w:lvlText w:val="%1.%2.%3.%4.%5.%6.%7.%8"/>
      <w:lvlJc w:val="left"/>
      <w:pPr>
        <w:tabs>
          <w:tab w:val="left" w:pos="1582"/>
        </w:tabs>
        <w:ind w:left="1582" w:hanging="1440"/>
      </w:pPr>
      <w:rPr>
        <w:rFonts w:hint="eastAsia"/>
      </w:rPr>
    </w:lvl>
    <w:lvl w:ilvl="8" w:tentative="0">
      <w:start w:val="1"/>
      <w:numFmt w:val="decimal"/>
      <w:pStyle w:val="10"/>
      <w:lvlText w:val="%1.%2.%3.%4.%5.%6.%7.%8.%9"/>
      <w:lvlJc w:val="left"/>
      <w:pPr>
        <w:tabs>
          <w:tab w:val="left" w:pos="1726"/>
        </w:tabs>
        <w:ind w:left="1726" w:hanging="1584"/>
      </w:pPr>
      <w:rPr>
        <w:rFonts w:hint="eastAsia"/>
      </w:rPr>
    </w:lvl>
  </w:abstractNum>
  <w:num w:numId="1">
    <w:abstractNumId w:val="5"/>
  </w:num>
  <w:num w:numId="2">
    <w:abstractNumId w:val="4"/>
    <w:lvlOverride w:ilvl="6">
      <w:startOverride w:val="1"/>
    </w:lvlOverride>
    <w:lvlOverride w:ilvl="7">
      <w:startOverride w:val="1"/>
    </w:lvlOverride>
    <w:lvlOverride w:ilvl="8">
      <w:startOverride w:val="1"/>
    </w:lvlOverride>
  </w:num>
  <w:num w:numId="3">
    <w:abstractNumId w:val="0"/>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572E"/>
    <w:rsid w:val="00001A97"/>
    <w:rsid w:val="000040CF"/>
    <w:rsid w:val="00006E50"/>
    <w:rsid w:val="000226A7"/>
    <w:rsid w:val="000231BF"/>
    <w:rsid w:val="0003626A"/>
    <w:rsid w:val="00036FE6"/>
    <w:rsid w:val="00042745"/>
    <w:rsid w:val="000427D5"/>
    <w:rsid w:val="00050F51"/>
    <w:rsid w:val="000570A0"/>
    <w:rsid w:val="0006038F"/>
    <w:rsid w:val="00076EDF"/>
    <w:rsid w:val="00077374"/>
    <w:rsid w:val="000923E0"/>
    <w:rsid w:val="00095504"/>
    <w:rsid w:val="00096977"/>
    <w:rsid w:val="000B08A2"/>
    <w:rsid w:val="000B383C"/>
    <w:rsid w:val="000C2B7F"/>
    <w:rsid w:val="000C3CC1"/>
    <w:rsid w:val="000C3DB7"/>
    <w:rsid w:val="000C7E49"/>
    <w:rsid w:val="000D0FC0"/>
    <w:rsid w:val="000D7DBC"/>
    <w:rsid w:val="000E52EA"/>
    <w:rsid w:val="000F384E"/>
    <w:rsid w:val="001000C8"/>
    <w:rsid w:val="00111B4F"/>
    <w:rsid w:val="00112184"/>
    <w:rsid w:val="00115357"/>
    <w:rsid w:val="00122386"/>
    <w:rsid w:val="00127082"/>
    <w:rsid w:val="0012747D"/>
    <w:rsid w:val="0013167C"/>
    <w:rsid w:val="00133EE3"/>
    <w:rsid w:val="00134EB3"/>
    <w:rsid w:val="00142B6B"/>
    <w:rsid w:val="00143530"/>
    <w:rsid w:val="0014725C"/>
    <w:rsid w:val="00151140"/>
    <w:rsid w:val="001539BA"/>
    <w:rsid w:val="00157FB2"/>
    <w:rsid w:val="00160838"/>
    <w:rsid w:val="00166689"/>
    <w:rsid w:val="001667FA"/>
    <w:rsid w:val="00174532"/>
    <w:rsid w:val="001764A7"/>
    <w:rsid w:val="00182073"/>
    <w:rsid w:val="00185A3B"/>
    <w:rsid w:val="00190DBE"/>
    <w:rsid w:val="00192950"/>
    <w:rsid w:val="00193B8D"/>
    <w:rsid w:val="00193EBA"/>
    <w:rsid w:val="0019431B"/>
    <w:rsid w:val="00194A3C"/>
    <w:rsid w:val="001A71EC"/>
    <w:rsid w:val="001B20FA"/>
    <w:rsid w:val="001D5F28"/>
    <w:rsid w:val="001D6423"/>
    <w:rsid w:val="001D6D98"/>
    <w:rsid w:val="001E0A2A"/>
    <w:rsid w:val="001E2A66"/>
    <w:rsid w:val="001E4804"/>
    <w:rsid w:val="001F7D2F"/>
    <w:rsid w:val="00200041"/>
    <w:rsid w:val="00204DBF"/>
    <w:rsid w:val="002074D1"/>
    <w:rsid w:val="00210AE9"/>
    <w:rsid w:val="002156DF"/>
    <w:rsid w:val="0021796B"/>
    <w:rsid w:val="002434CA"/>
    <w:rsid w:val="00244349"/>
    <w:rsid w:val="00247657"/>
    <w:rsid w:val="00256328"/>
    <w:rsid w:val="0025677A"/>
    <w:rsid w:val="00265B4D"/>
    <w:rsid w:val="00272B61"/>
    <w:rsid w:val="00292733"/>
    <w:rsid w:val="00293769"/>
    <w:rsid w:val="00296446"/>
    <w:rsid w:val="002A2920"/>
    <w:rsid w:val="002C38A8"/>
    <w:rsid w:val="002D5FC6"/>
    <w:rsid w:val="002E76A0"/>
    <w:rsid w:val="002E7990"/>
    <w:rsid w:val="002F69D7"/>
    <w:rsid w:val="0030102B"/>
    <w:rsid w:val="00312389"/>
    <w:rsid w:val="003202DD"/>
    <w:rsid w:val="003305C1"/>
    <w:rsid w:val="00331922"/>
    <w:rsid w:val="00343983"/>
    <w:rsid w:val="00344D2C"/>
    <w:rsid w:val="0034619E"/>
    <w:rsid w:val="003528A2"/>
    <w:rsid w:val="00353941"/>
    <w:rsid w:val="0035717A"/>
    <w:rsid w:val="00362CFB"/>
    <w:rsid w:val="0036427E"/>
    <w:rsid w:val="00366198"/>
    <w:rsid w:val="00384454"/>
    <w:rsid w:val="00392F50"/>
    <w:rsid w:val="003953F7"/>
    <w:rsid w:val="003961AE"/>
    <w:rsid w:val="003A2087"/>
    <w:rsid w:val="003B3737"/>
    <w:rsid w:val="003C386B"/>
    <w:rsid w:val="003C4894"/>
    <w:rsid w:val="003D0A11"/>
    <w:rsid w:val="003E412D"/>
    <w:rsid w:val="003E646D"/>
    <w:rsid w:val="003F116B"/>
    <w:rsid w:val="00413794"/>
    <w:rsid w:val="004156C5"/>
    <w:rsid w:val="00425CC1"/>
    <w:rsid w:val="00426633"/>
    <w:rsid w:val="00427296"/>
    <w:rsid w:val="00431A3A"/>
    <w:rsid w:val="0044737A"/>
    <w:rsid w:val="004608C7"/>
    <w:rsid w:val="00461A48"/>
    <w:rsid w:val="00465414"/>
    <w:rsid w:val="0046710C"/>
    <w:rsid w:val="00471BA0"/>
    <w:rsid w:val="00472CFB"/>
    <w:rsid w:val="004731D7"/>
    <w:rsid w:val="00476A78"/>
    <w:rsid w:val="00480BC2"/>
    <w:rsid w:val="0048609D"/>
    <w:rsid w:val="00486816"/>
    <w:rsid w:val="004918D3"/>
    <w:rsid w:val="00492157"/>
    <w:rsid w:val="00492395"/>
    <w:rsid w:val="004936EF"/>
    <w:rsid w:val="00493945"/>
    <w:rsid w:val="00495C34"/>
    <w:rsid w:val="004B615F"/>
    <w:rsid w:val="004C3031"/>
    <w:rsid w:val="004C3534"/>
    <w:rsid w:val="004C7369"/>
    <w:rsid w:val="004D0A3E"/>
    <w:rsid w:val="004D3009"/>
    <w:rsid w:val="004D3EAB"/>
    <w:rsid w:val="004D5728"/>
    <w:rsid w:val="004E7920"/>
    <w:rsid w:val="004F194B"/>
    <w:rsid w:val="005026C0"/>
    <w:rsid w:val="0050563F"/>
    <w:rsid w:val="005078A7"/>
    <w:rsid w:val="005211B6"/>
    <w:rsid w:val="00523F0B"/>
    <w:rsid w:val="00527A32"/>
    <w:rsid w:val="00530C06"/>
    <w:rsid w:val="00532B43"/>
    <w:rsid w:val="005407B8"/>
    <w:rsid w:val="00543491"/>
    <w:rsid w:val="00554E87"/>
    <w:rsid w:val="00555576"/>
    <w:rsid w:val="00561B65"/>
    <w:rsid w:val="00565993"/>
    <w:rsid w:val="00570A94"/>
    <w:rsid w:val="0057358F"/>
    <w:rsid w:val="00575A85"/>
    <w:rsid w:val="00583A88"/>
    <w:rsid w:val="00585A5D"/>
    <w:rsid w:val="005967E6"/>
    <w:rsid w:val="005B452A"/>
    <w:rsid w:val="005C0487"/>
    <w:rsid w:val="005C5A7C"/>
    <w:rsid w:val="005C654E"/>
    <w:rsid w:val="005D216B"/>
    <w:rsid w:val="005E1285"/>
    <w:rsid w:val="005F07A8"/>
    <w:rsid w:val="005F1DFD"/>
    <w:rsid w:val="005F2483"/>
    <w:rsid w:val="00606109"/>
    <w:rsid w:val="0061415E"/>
    <w:rsid w:val="006162C3"/>
    <w:rsid w:val="006337E5"/>
    <w:rsid w:val="006405D9"/>
    <w:rsid w:val="00645252"/>
    <w:rsid w:val="00653A45"/>
    <w:rsid w:val="0065572F"/>
    <w:rsid w:val="00660A94"/>
    <w:rsid w:val="0066582B"/>
    <w:rsid w:val="006661B6"/>
    <w:rsid w:val="00672151"/>
    <w:rsid w:val="00676B24"/>
    <w:rsid w:val="00676FD1"/>
    <w:rsid w:val="0068617A"/>
    <w:rsid w:val="0069556A"/>
    <w:rsid w:val="006968FE"/>
    <w:rsid w:val="006B636E"/>
    <w:rsid w:val="006D12B7"/>
    <w:rsid w:val="006D3838"/>
    <w:rsid w:val="006D4105"/>
    <w:rsid w:val="006E27A9"/>
    <w:rsid w:val="006E37F4"/>
    <w:rsid w:val="006E3A97"/>
    <w:rsid w:val="006E6BE4"/>
    <w:rsid w:val="006F3660"/>
    <w:rsid w:val="007017BF"/>
    <w:rsid w:val="007076B0"/>
    <w:rsid w:val="007126EA"/>
    <w:rsid w:val="00716482"/>
    <w:rsid w:val="0072112E"/>
    <w:rsid w:val="007220CC"/>
    <w:rsid w:val="0072730E"/>
    <w:rsid w:val="00733EFA"/>
    <w:rsid w:val="007407FD"/>
    <w:rsid w:val="00753CC1"/>
    <w:rsid w:val="007579FD"/>
    <w:rsid w:val="00757CF0"/>
    <w:rsid w:val="00761327"/>
    <w:rsid w:val="00763796"/>
    <w:rsid w:val="00764A33"/>
    <w:rsid w:val="0077544B"/>
    <w:rsid w:val="007757A6"/>
    <w:rsid w:val="007779E4"/>
    <w:rsid w:val="00780826"/>
    <w:rsid w:val="00786E15"/>
    <w:rsid w:val="00787D70"/>
    <w:rsid w:val="007977CC"/>
    <w:rsid w:val="007A02CD"/>
    <w:rsid w:val="007A3577"/>
    <w:rsid w:val="007C51B9"/>
    <w:rsid w:val="007C62DB"/>
    <w:rsid w:val="007D300C"/>
    <w:rsid w:val="007D7A6A"/>
    <w:rsid w:val="007E195A"/>
    <w:rsid w:val="007E4A18"/>
    <w:rsid w:val="007E572E"/>
    <w:rsid w:val="007E5A9B"/>
    <w:rsid w:val="007F3206"/>
    <w:rsid w:val="007F4923"/>
    <w:rsid w:val="008064D6"/>
    <w:rsid w:val="00812782"/>
    <w:rsid w:val="008371F0"/>
    <w:rsid w:val="00840A2B"/>
    <w:rsid w:val="00847E14"/>
    <w:rsid w:val="00863241"/>
    <w:rsid w:val="008913A6"/>
    <w:rsid w:val="0089172A"/>
    <w:rsid w:val="008925A1"/>
    <w:rsid w:val="008928F7"/>
    <w:rsid w:val="008B04B4"/>
    <w:rsid w:val="008B5D5C"/>
    <w:rsid w:val="008B6CF7"/>
    <w:rsid w:val="008C11BF"/>
    <w:rsid w:val="008C16D5"/>
    <w:rsid w:val="008C7309"/>
    <w:rsid w:val="008D1495"/>
    <w:rsid w:val="008D43C0"/>
    <w:rsid w:val="008D7DB6"/>
    <w:rsid w:val="008E5954"/>
    <w:rsid w:val="008F7AAD"/>
    <w:rsid w:val="00911BCC"/>
    <w:rsid w:val="0091323D"/>
    <w:rsid w:val="0092144D"/>
    <w:rsid w:val="009318DE"/>
    <w:rsid w:val="00941F83"/>
    <w:rsid w:val="00945CC7"/>
    <w:rsid w:val="00946E19"/>
    <w:rsid w:val="009547AF"/>
    <w:rsid w:val="00971F8A"/>
    <w:rsid w:val="00976E9E"/>
    <w:rsid w:val="0098043D"/>
    <w:rsid w:val="00982499"/>
    <w:rsid w:val="00984AF0"/>
    <w:rsid w:val="00987D23"/>
    <w:rsid w:val="00990D49"/>
    <w:rsid w:val="009A0358"/>
    <w:rsid w:val="009A62C5"/>
    <w:rsid w:val="009C0AC0"/>
    <w:rsid w:val="009C22E7"/>
    <w:rsid w:val="009C4BA5"/>
    <w:rsid w:val="009C50CC"/>
    <w:rsid w:val="009D54DD"/>
    <w:rsid w:val="009D62D6"/>
    <w:rsid w:val="009E68C3"/>
    <w:rsid w:val="009F3B37"/>
    <w:rsid w:val="009F53C9"/>
    <w:rsid w:val="009F630D"/>
    <w:rsid w:val="00A10686"/>
    <w:rsid w:val="00A15F9E"/>
    <w:rsid w:val="00A32880"/>
    <w:rsid w:val="00A33924"/>
    <w:rsid w:val="00A35A72"/>
    <w:rsid w:val="00A44411"/>
    <w:rsid w:val="00A50F60"/>
    <w:rsid w:val="00A61067"/>
    <w:rsid w:val="00A809EE"/>
    <w:rsid w:val="00A82DDA"/>
    <w:rsid w:val="00AA1D28"/>
    <w:rsid w:val="00AA77AF"/>
    <w:rsid w:val="00AA7F99"/>
    <w:rsid w:val="00AB1EB9"/>
    <w:rsid w:val="00AB4541"/>
    <w:rsid w:val="00AB6F2F"/>
    <w:rsid w:val="00AB74B7"/>
    <w:rsid w:val="00AC1E4F"/>
    <w:rsid w:val="00AC233B"/>
    <w:rsid w:val="00AC2532"/>
    <w:rsid w:val="00AD4F98"/>
    <w:rsid w:val="00AE080E"/>
    <w:rsid w:val="00AE1C9F"/>
    <w:rsid w:val="00AE4743"/>
    <w:rsid w:val="00AE57DE"/>
    <w:rsid w:val="00AE6D21"/>
    <w:rsid w:val="00AF4E49"/>
    <w:rsid w:val="00AF6C6C"/>
    <w:rsid w:val="00AF72D7"/>
    <w:rsid w:val="00B00BA9"/>
    <w:rsid w:val="00B00F28"/>
    <w:rsid w:val="00B00FEA"/>
    <w:rsid w:val="00B05487"/>
    <w:rsid w:val="00B13D51"/>
    <w:rsid w:val="00B14BAD"/>
    <w:rsid w:val="00B21CE5"/>
    <w:rsid w:val="00B33877"/>
    <w:rsid w:val="00B34705"/>
    <w:rsid w:val="00B35D27"/>
    <w:rsid w:val="00B47504"/>
    <w:rsid w:val="00B47A90"/>
    <w:rsid w:val="00B60559"/>
    <w:rsid w:val="00B672A1"/>
    <w:rsid w:val="00B70CB7"/>
    <w:rsid w:val="00B71C71"/>
    <w:rsid w:val="00B81222"/>
    <w:rsid w:val="00B87045"/>
    <w:rsid w:val="00B9061F"/>
    <w:rsid w:val="00B949AF"/>
    <w:rsid w:val="00B96934"/>
    <w:rsid w:val="00BA0F71"/>
    <w:rsid w:val="00BA460E"/>
    <w:rsid w:val="00BA4993"/>
    <w:rsid w:val="00BA50C8"/>
    <w:rsid w:val="00BB0E5E"/>
    <w:rsid w:val="00BC4FBF"/>
    <w:rsid w:val="00BC5D44"/>
    <w:rsid w:val="00BD164F"/>
    <w:rsid w:val="00BD2921"/>
    <w:rsid w:val="00BD435F"/>
    <w:rsid w:val="00BD5E32"/>
    <w:rsid w:val="00BE0C44"/>
    <w:rsid w:val="00BE1BD4"/>
    <w:rsid w:val="00BE2FFE"/>
    <w:rsid w:val="00BE4EC6"/>
    <w:rsid w:val="00BE51D4"/>
    <w:rsid w:val="00BF617B"/>
    <w:rsid w:val="00C075E8"/>
    <w:rsid w:val="00C1667D"/>
    <w:rsid w:val="00C201DB"/>
    <w:rsid w:val="00C240E8"/>
    <w:rsid w:val="00C413AD"/>
    <w:rsid w:val="00C440AA"/>
    <w:rsid w:val="00C526A8"/>
    <w:rsid w:val="00C61496"/>
    <w:rsid w:val="00C61F76"/>
    <w:rsid w:val="00C731E1"/>
    <w:rsid w:val="00C74C57"/>
    <w:rsid w:val="00C77E16"/>
    <w:rsid w:val="00C83B48"/>
    <w:rsid w:val="00C86DDE"/>
    <w:rsid w:val="00C92E1F"/>
    <w:rsid w:val="00CA1C36"/>
    <w:rsid w:val="00CA1DD3"/>
    <w:rsid w:val="00CD199D"/>
    <w:rsid w:val="00CD1EFF"/>
    <w:rsid w:val="00CD28A8"/>
    <w:rsid w:val="00CD3EBC"/>
    <w:rsid w:val="00CD6E66"/>
    <w:rsid w:val="00CE083F"/>
    <w:rsid w:val="00CE675C"/>
    <w:rsid w:val="00D00520"/>
    <w:rsid w:val="00D017E7"/>
    <w:rsid w:val="00D04873"/>
    <w:rsid w:val="00D074CA"/>
    <w:rsid w:val="00D2146D"/>
    <w:rsid w:val="00D23A10"/>
    <w:rsid w:val="00D424A2"/>
    <w:rsid w:val="00D47F88"/>
    <w:rsid w:val="00D5063F"/>
    <w:rsid w:val="00D54A71"/>
    <w:rsid w:val="00D60A4F"/>
    <w:rsid w:val="00D6258A"/>
    <w:rsid w:val="00D70D2E"/>
    <w:rsid w:val="00D7433C"/>
    <w:rsid w:val="00D77CD2"/>
    <w:rsid w:val="00D82705"/>
    <w:rsid w:val="00D8779B"/>
    <w:rsid w:val="00D91321"/>
    <w:rsid w:val="00DA236F"/>
    <w:rsid w:val="00DB67BA"/>
    <w:rsid w:val="00DB7B17"/>
    <w:rsid w:val="00DC7E7E"/>
    <w:rsid w:val="00DD07FB"/>
    <w:rsid w:val="00DD4913"/>
    <w:rsid w:val="00DD4CA2"/>
    <w:rsid w:val="00DD7274"/>
    <w:rsid w:val="00DE0BA6"/>
    <w:rsid w:val="00DF0124"/>
    <w:rsid w:val="00DF318C"/>
    <w:rsid w:val="00DF5F82"/>
    <w:rsid w:val="00DF6E3B"/>
    <w:rsid w:val="00E06FF4"/>
    <w:rsid w:val="00E1683A"/>
    <w:rsid w:val="00E27172"/>
    <w:rsid w:val="00E31B43"/>
    <w:rsid w:val="00E35523"/>
    <w:rsid w:val="00E37ECA"/>
    <w:rsid w:val="00E37ED4"/>
    <w:rsid w:val="00E41BDB"/>
    <w:rsid w:val="00E53D7D"/>
    <w:rsid w:val="00E65E64"/>
    <w:rsid w:val="00E80246"/>
    <w:rsid w:val="00E90DA5"/>
    <w:rsid w:val="00E91880"/>
    <w:rsid w:val="00EA36F0"/>
    <w:rsid w:val="00EA3759"/>
    <w:rsid w:val="00EC3BCA"/>
    <w:rsid w:val="00ED3711"/>
    <w:rsid w:val="00EE0F0A"/>
    <w:rsid w:val="00EE2A59"/>
    <w:rsid w:val="00EE551D"/>
    <w:rsid w:val="00EE5F50"/>
    <w:rsid w:val="00EE7347"/>
    <w:rsid w:val="00F00CC1"/>
    <w:rsid w:val="00F0293B"/>
    <w:rsid w:val="00F04D71"/>
    <w:rsid w:val="00F067F6"/>
    <w:rsid w:val="00F10BFB"/>
    <w:rsid w:val="00F159F7"/>
    <w:rsid w:val="00F237D3"/>
    <w:rsid w:val="00F256EF"/>
    <w:rsid w:val="00F35586"/>
    <w:rsid w:val="00F370C6"/>
    <w:rsid w:val="00F51B9E"/>
    <w:rsid w:val="00F525BD"/>
    <w:rsid w:val="00F70BF9"/>
    <w:rsid w:val="00F7197A"/>
    <w:rsid w:val="00F7770D"/>
    <w:rsid w:val="00F9611F"/>
    <w:rsid w:val="00FA4994"/>
    <w:rsid w:val="00FB583C"/>
    <w:rsid w:val="00FD286D"/>
    <w:rsid w:val="00FD69D9"/>
    <w:rsid w:val="00FD6B0D"/>
    <w:rsid w:val="00FE7EBC"/>
    <w:rsid w:val="00FF6D40"/>
    <w:rsid w:val="00FF7218"/>
    <w:rsid w:val="39E358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semiHidden="0" w:name="index 1"/>
    <w:lsdException w:uiPriority="99" w:semiHidden="0" w:name="index 2"/>
    <w:lsdException w:uiPriority="99" w:semiHidden="0" w:name="index 3"/>
    <w:lsdException w:uiPriority="99" w:semiHidden="0" w:name="index 4"/>
    <w:lsdException w:uiPriority="99" w:semiHidden="0" w:name="index 5"/>
    <w:lsdException w:uiPriority="99" w:semiHidden="0" w:name="index 6"/>
    <w:lsdException w:uiPriority="99" w:semiHidden="0" w:name="index 7"/>
    <w:lsdException w:uiPriority="99" w:semiHidden="0" w:name="index 8"/>
    <w:lsdException w:uiPriority="99" w:semiHidden="0"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semiHidden="0" w:name="header"/>
    <w:lsdException w:uiPriority="99" w:semiHidden="0" w:name="footer"/>
    <w:lsdException w:uiPriority="99" w:semiHidden="0" w:name="index heading"/>
    <w:lsdException w:qFormat="1" w:unhideWhenUsed="0" w:uiPriority="0" w:semiHidden="0" w:name="caption"/>
    <w:lsdException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7"/>
    <w:qFormat/>
    <w:uiPriority w:val="0"/>
    <w:pPr>
      <w:keepNext/>
      <w:keepLines/>
      <w:numPr>
        <w:ilvl w:val="0"/>
        <w:numId w:val="1"/>
      </w:numPr>
      <w:spacing w:beforeLines="200" w:line="360" w:lineRule="auto"/>
      <w:jc w:val="left"/>
      <w:outlineLvl w:val="0"/>
    </w:pPr>
    <w:rPr>
      <w:rFonts w:ascii="Arial" w:hAnsi="Arial"/>
      <w:kern w:val="44"/>
      <w:sz w:val="32"/>
      <w:szCs w:val="32"/>
    </w:rPr>
  </w:style>
  <w:style w:type="paragraph" w:styleId="3">
    <w:name w:val="heading 2"/>
    <w:basedOn w:val="1"/>
    <w:next w:val="1"/>
    <w:link w:val="48"/>
    <w:unhideWhenUsed/>
    <w:qFormat/>
    <w:uiPriority w:val="0"/>
    <w:pPr>
      <w:keepNext/>
      <w:keepLines/>
      <w:numPr>
        <w:ilvl w:val="1"/>
        <w:numId w:val="1"/>
      </w:numPr>
      <w:spacing w:line="360" w:lineRule="auto"/>
      <w:outlineLvl w:val="1"/>
    </w:pPr>
    <w:rPr>
      <w:rFonts w:ascii="Arial" w:hAnsi="Arial"/>
      <w:sz w:val="28"/>
      <w:szCs w:val="32"/>
    </w:rPr>
  </w:style>
  <w:style w:type="paragraph" w:styleId="4">
    <w:name w:val="heading 3"/>
    <w:next w:val="1"/>
    <w:link w:val="49"/>
    <w:unhideWhenUsed/>
    <w:qFormat/>
    <w:uiPriority w:val="0"/>
    <w:pPr>
      <w:keepNext/>
      <w:keepLines/>
      <w:numPr>
        <w:ilvl w:val="2"/>
        <w:numId w:val="1"/>
      </w:numPr>
      <w:spacing w:line="360" w:lineRule="auto"/>
      <w:outlineLvl w:val="2"/>
    </w:pPr>
    <w:rPr>
      <w:rFonts w:ascii="Arial" w:hAnsi="Arial" w:eastAsia="宋体" w:cs="Times New Roman"/>
      <w:kern w:val="2"/>
      <w:sz w:val="24"/>
      <w:szCs w:val="32"/>
      <w:lang w:val="en-US" w:eastAsia="zh-CN" w:bidi="ar-SA"/>
    </w:rPr>
  </w:style>
  <w:style w:type="paragraph" w:styleId="5">
    <w:name w:val="heading 4"/>
    <w:basedOn w:val="1"/>
    <w:next w:val="1"/>
    <w:link w:val="50"/>
    <w:unhideWhenUsed/>
    <w:qFormat/>
    <w:uiPriority w:val="0"/>
    <w:pPr>
      <w:keepNext/>
      <w:keepLines/>
      <w:numPr>
        <w:ilvl w:val="3"/>
        <w:numId w:val="1"/>
      </w:numPr>
      <w:spacing w:before="280" w:after="290" w:line="376" w:lineRule="atLeast"/>
      <w:outlineLvl w:val="3"/>
    </w:pPr>
    <w:rPr>
      <w:rFonts w:ascii="Arial" w:hAnsi="Arial" w:eastAsia="黑体"/>
      <w:b/>
      <w:bCs/>
      <w:sz w:val="28"/>
      <w:szCs w:val="28"/>
    </w:rPr>
  </w:style>
  <w:style w:type="paragraph" w:styleId="6">
    <w:name w:val="heading 5"/>
    <w:basedOn w:val="1"/>
    <w:next w:val="1"/>
    <w:link w:val="51"/>
    <w:unhideWhenUsed/>
    <w:qFormat/>
    <w:uiPriority w:val="9"/>
    <w:pPr>
      <w:keepNext/>
      <w:keepLines/>
      <w:numPr>
        <w:ilvl w:val="4"/>
        <w:numId w:val="1"/>
      </w:numPr>
      <w:spacing w:before="280" w:after="290" w:line="376" w:lineRule="atLeast"/>
      <w:outlineLvl w:val="4"/>
    </w:pPr>
    <w:rPr>
      <w:rFonts w:ascii="Arial" w:hAnsi="Arial"/>
      <w:sz w:val="28"/>
      <w:szCs w:val="28"/>
    </w:rPr>
  </w:style>
  <w:style w:type="paragraph" w:styleId="7">
    <w:name w:val="heading 6"/>
    <w:basedOn w:val="1"/>
    <w:next w:val="1"/>
    <w:link w:val="52"/>
    <w:semiHidden/>
    <w:unhideWhenUsed/>
    <w:qFormat/>
    <w:uiPriority w:val="9"/>
    <w:pPr>
      <w:keepNext/>
      <w:keepLines/>
      <w:numPr>
        <w:ilvl w:val="5"/>
        <w:numId w:val="1"/>
      </w:numPr>
      <w:spacing w:before="240" w:after="64" w:line="320" w:lineRule="atLeast"/>
      <w:outlineLvl w:val="5"/>
    </w:pPr>
    <w:rPr>
      <w:rFonts w:ascii="Arial" w:hAnsi="Arial" w:eastAsia="黑体"/>
      <w:b/>
      <w:bCs/>
      <w:sz w:val="24"/>
    </w:rPr>
  </w:style>
  <w:style w:type="paragraph" w:styleId="8">
    <w:name w:val="heading 7"/>
    <w:basedOn w:val="1"/>
    <w:next w:val="1"/>
    <w:link w:val="53"/>
    <w:semiHidden/>
    <w:unhideWhenUsed/>
    <w:qFormat/>
    <w:uiPriority w:val="9"/>
    <w:pPr>
      <w:keepNext/>
      <w:keepLines/>
      <w:numPr>
        <w:ilvl w:val="6"/>
        <w:numId w:val="1"/>
      </w:numPr>
      <w:spacing w:before="240" w:after="64" w:line="320" w:lineRule="atLeast"/>
      <w:outlineLvl w:val="6"/>
    </w:pPr>
    <w:rPr>
      <w:rFonts w:ascii="Arial" w:hAnsi="Arial"/>
      <w:b/>
      <w:bCs/>
      <w:sz w:val="24"/>
    </w:rPr>
  </w:style>
  <w:style w:type="paragraph" w:styleId="9">
    <w:name w:val="heading 8"/>
    <w:basedOn w:val="1"/>
    <w:next w:val="1"/>
    <w:link w:val="54"/>
    <w:semiHidden/>
    <w:unhideWhenUsed/>
    <w:qFormat/>
    <w:uiPriority w:val="9"/>
    <w:pPr>
      <w:keepNext/>
      <w:keepLines/>
      <w:numPr>
        <w:ilvl w:val="7"/>
        <w:numId w:val="1"/>
      </w:numPr>
      <w:spacing w:before="240" w:after="64" w:line="320" w:lineRule="atLeast"/>
      <w:outlineLvl w:val="7"/>
    </w:pPr>
    <w:rPr>
      <w:rFonts w:ascii="Arial" w:hAnsi="Arial" w:eastAsia="黑体"/>
      <w:sz w:val="24"/>
    </w:rPr>
  </w:style>
  <w:style w:type="paragraph" w:styleId="10">
    <w:name w:val="heading 9"/>
    <w:basedOn w:val="1"/>
    <w:next w:val="1"/>
    <w:link w:val="55"/>
    <w:semiHidden/>
    <w:unhideWhenUsed/>
    <w:qFormat/>
    <w:uiPriority w:val="9"/>
    <w:pPr>
      <w:keepNext/>
      <w:keepLines/>
      <w:numPr>
        <w:ilvl w:val="8"/>
        <w:numId w:val="1"/>
      </w:numPr>
      <w:spacing w:before="240" w:after="64" w:line="320" w:lineRule="atLeast"/>
      <w:outlineLvl w:val="8"/>
    </w:pPr>
    <w:rPr>
      <w:rFonts w:ascii="Arial" w:hAnsi="Arial" w:eastAsia="黑体"/>
      <w:szCs w:val="21"/>
    </w:rPr>
  </w:style>
  <w:style w:type="character" w:default="1" w:styleId="43">
    <w:name w:val="Default Paragraph Font"/>
    <w:semiHidden/>
    <w:unhideWhenUsed/>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11">
    <w:name w:val="index 8"/>
    <w:basedOn w:val="1"/>
    <w:next w:val="1"/>
    <w:unhideWhenUsed/>
    <w:uiPriority w:val="99"/>
    <w:pPr>
      <w:ind w:left="1680" w:hanging="210"/>
      <w:jc w:val="left"/>
    </w:pPr>
    <w:rPr>
      <w:rFonts w:ascii="Calibri" w:hAnsi="Calibri"/>
      <w:sz w:val="20"/>
      <w:szCs w:val="20"/>
    </w:rPr>
  </w:style>
  <w:style w:type="paragraph" w:styleId="12">
    <w:name w:val="Normal Indent"/>
    <w:basedOn w:val="1"/>
    <w:link w:val="69"/>
    <w:qFormat/>
    <w:uiPriority w:val="0"/>
    <w:pPr>
      <w:ind w:firstLine="420" w:firstLineChars="200"/>
    </w:pPr>
  </w:style>
  <w:style w:type="paragraph" w:styleId="13">
    <w:name w:val="caption"/>
    <w:basedOn w:val="1"/>
    <w:next w:val="1"/>
    <w:qFormat/>
    <w:uiPriority w:val="0"/>
    <w:pPr>
      <w:adjustRightInd w:val="0"/>
      <w:spacing w:line="300" w:lineRule="auto"/>
      <w:textAlignment w:val="baseline"/>
    </w:pPr>
    <w:rPr>
      <w:rFonts w:eastAsia="黑体" w:cs="Arial"/>
      <w:kern w:val="0"/>
      <w:sz w:val="24"/>
      <w:szCs w:val="20"/>
    </w:rPr>
  </w:style>
  <w:style w:type="paragraph" w:styleId="14">
    <w:name w:val="index 5"/>
    <w:basedOn w:val="1"/>
    <w:next w:val="1"/>
    <w:unhideWhenUsed/>
    <w:uiPriority w:val="99"/>
    <w:pPr>
      <w:ind w:left="1050" w:hanging="210"/>
      <w:jc w:val="left"/>
    </w:pPr>
    <w:rPr>
      <w:rFonts w:ascii="Calibri" w:hAnsi="Calibri"/>
      <w:sz w:val="20"/>
      <w:szCs w:val="20"/>
    </w:rPr>
  </w:style>
  <w:style w:type="paragraph" w:styleId="15">
    <w:name w:val="Document Map"/>
    <w:basedOn w:val="1"/>
    <w:link w:val="92"/>
    <w:semiHidden/>
    <w:unhideWhenUsed/>
    <w:uiPriority w:val="99"/>
    <w:rPr>
      <w:rFonts w:ascii="宋体" w:hAnsi="Calibri"/>
      <w:sz w:val="18"/>
      <w:szCs w:val="18"/>
    </w:rPr>
  </w:style>
  <w:style w:type="paragraph" w:styleId="16">
    <w:name w:val="index 6"/>
    <w:basedOn w:val="1"/>
    <w:next w:val="1"/>
    <w:unhideWhenUsed/>
    <w:uiPriority w:val="99"/>
    <w:pPr>
      <w:ind w:left="1260" w:hanging="210"/>
      <w:jc w:val="left"/>
    </w:pPr>
    <w:rPr>
      <w:rFonts w:ascii="Calibri" w:hAnsi="Calibri"/>
      <w:sz w:val="20"/>
      <w:szCs w:val="20"/>
    </w:rPr>
  </w:style>
  <w:style w:type="paragraph" w:styleId="17">
    <w:name w:val="Body Text"/>
    <w:basedOn w:val="1"/>
    <w:link w:val="99"/>
    <w:semiHidden/>
    <w:unhideWhenUsed/>
    <w:uiPriority w:val="99"/>
    <w:pPr>
      <w:spacing w:after="120"/>
    </w:pPr>
    <w:rPr>
      <w:rFonts w:ascii="Calibri" w:hAnsi="Calibri"/>
      <w:szCs w:val="22"/>
    </w:rPr>
  </w:style>
  <w:style w:type="paragraph" w:styleId="18">
    <w:name w:val="Body Text Indent"/>
    <w:basedOn w:val="1"/>
    <w:link w:val="102"/>
    <w:semiHidden/>
    <w:unhideWhenUsed/>
    <w:uiPriority w:val="99"/>
    <w:pPr>
      <w:spacing w:after="120"/>
      <w:ind w:left="420" w:leftChars="200"/>
    </w:pPr>
    <w:rPr>
      <w:rFonts w:ascii="Calibri" w:hAnsi="Calibri"/>
      <w:szCs w:val="22"/>
    </w:rPr>
  </w:style>
  <w:style w:type="paragraph" w:styleId="19">
    <w:name w:val="index 4"/>
    <w:basedOn w:val="1"/>
    <w:next w:val="1"/>
    <w:unhideWhenUsed/>
    <w:uiPriority w:val="99"/>
    <w:pPr>
      <w:ind w:left="840" w:hanging="210"/>
      <w:jc w:val="left"/>
    </w:pPr>
    <w:rPr>
      <w:rFonts w:ascii="Calibri" w:hAnsi="Calibri"/>
      <w:sz w:val="20"/>
      <w:szCs w:val="20"/>
    </w:rPr>
  </w:style>
  <w:style w:type="paragraph" w:styleId="20">
    <w:name w:val="toc 3"/>
    <w:basedOn w:val="1"/>
    <w:next w:val="1"/>
    <w:unhideWhenUsed/>
    <w:qFormat/>
    <w:uiPriority w:val="39"/>
    <w:pPr>
      <w:ind w:left="420"/>
      <w:jc w:val="left"/>
    </w:pPr>
    <w:rPr>
      <w:i/>
      <w:iCs/>
      <w:sz w:val="20"/>
    </w:rPr>
  </w:style>
  <w:style w:type="paragraph" w:styleId="21">
    <w:name w:val="index 3"/>
    <w:basedOn w:val="1"/>
    <w:next w:val="1"/>
    <w:unhideWhenUsed/>
    <w:uiPriority w:val="99"/>
    <w:pPr>
      <w:ind w:left="630" w:hanging="210"/>
      <w:jc w:val="left"/>
    </w:pPr>
    <w:rPr>
      <w:rFonts w:ascii="Calibri" w:hAnsi="Calibri"/>
      <w:sz w:val="20"/>
      <w:szCs w:val="20"/>
    </w:rPr>
  </w:style>
  <w:style w:type="paragraph" w:styleId="22">
    <w:name w:val="Body Text Indent 2"/>
    <w:basedOn w:val="1"/>
    <w:link w:val="119"/>
    <w:semiHidden/>
    <w:unhideWhenUsed/>
    <w:uiPriority w:val="99"/>
    <w:pPr>
      <w:spacing w:after="120" w:line="480" w:lineRule="auto"/>
      <w:ind w:left="420" w:leftChars="200"/>
    </w:pPr>
  </w:style>
  <w:style w:type="paragraph" w:styleId="23">
    <w:name w:val="Balloon Text"/>
    <w:basedOn w:val="1"/>
    <w:link w:val="66"/>
    <w:semiHidden/>
    <w:unhideWhenUsed/>
    <w:uiPriority w:val="99"/>
    <w:rPr>
      <w:sz w:val="18"/>
      <w:szCs w:val="18"/>
    </w:rPr>
  </w:style>
  <w:style w:type="paragraph" w:styleId="24">
    <w:name w:val="footer"/>
    <w:basedOn w:val="1"/>
    <w:link w:val="68"/>
    <w:unhideWhenUsed/>
    <w:uiPriority w:val="99"/>
    <w:pPr>
      <w:tabs>
        <w:tab w:val="center" w:pos="4153"/>
        <w:tab w:val="right" w:pos="8306"/>
      </w:tabs>
      <w:snapToGrid w:val="0"/>
      <w:jc w:val="left"/>
    </w:pPr>
    <w:rPr>
      <w:sz w:val="18"/>
      <w:szCs w:val="18"/>
    </w:rPr>
  </w:style>
  <w:style w:type="paragraph" w:styleId="25">
    <w:name w:val="header"/>
    <w:basedOn w:val="1"/>
    <w:link w:val="67"/>
    <w:unhideWhenUsed/>
    <w:uiPriority w:val="99"/>
    <w:pPr>
      <w:pBdr>
        <w:bottom w:val="single" w:color="auto" w:sz="6" w:space="1"/>
      </w:pBdr>
      <w:tabs>
        <w:tab w:val="center" w:pos="4153"/>
        <w:tab w:val="right" w:pos="8306"/>
      </w:tabs>
      <w:snapToGrid w:val="0"/>
      <w:jc w:val="center"/>
    </w:pPr>
    <w:rPr>
      <w:sz w:val="18"/>
      <w:szCs w:val="18"/>
    </w:rPr>
  </w:style>
  <w:style w:type="paragraph" w:styleId="26">
    <w:name w:val="toc 1"/>
    <w:basedOn w:val="1"/>
    <w:next w:val="1"/>
    <w:unhideWhenUsed/>
    <w:qFormat/>
    <w:uiPriority w:val="39"/>
    <w:pPr>
      <w:tabs>
        <w:tab w:val="left" w:pos="840"/>
        <w:tab w:val="right" w:leader="dot" w:pos="9204"/>
      </w:tabs>
      <w:spacing w:before="120" w:after="120" w:line="600" w:lineRule="auto"/>
      <w:jc w:val="left"/>
    </w:pPr>
    <w:rPr>
      <w:b/>
      <w:bCs/>
      <w:caps/>
      <w:sz w:val="20"/>
    </w:rPr>
  </w:style>
  <w:style w:type="paragraph" w:styleId="27">
    <w:name w:val="toc 4"/>
    <w:basedOn w:val="1"/>
    <w:next w:val="1"/>
    <w:semiHidden/>
    <w:unhideWhenUsed/>
    <w:uiPriority w:val="39"/>
    <w:pPr>
      <w:ind w:left="630"/>
      <w:jc w:val="left"/>
    </w:pPr>
    <w:rPr>
      <w:sz w:val="18"/>
      <w:szCs w:val="21"/>
    </w:rPr>
  </w:style>
  <w:style w:type="paragraph" w:styleId="28">
    <w:name w:val="index heading"/>
    <w:basedOn w:val="1"/>
    <w:next w:val="29"/>
    <w:unhideWhenUsed/>
    <w:uiPriority w:val="99"/>
    <w:pPr>
      <w:spacing w:before="120" w:after="120"/>
      <w:jc w:val="left"/>
    </w:pPr>
    <w:rPr>
      <w:rFonts w:ascii="Calibri" w:hAnsi="Calibri"/>
      <w:b/>
      <w:bCs/>
      <w:i/>
      <w:iCs/>
      <w:sz w:val="20"/>
      <w:szCs w:val="20"/>
    </w:rPr>
  </w:style>
  <w:style w:type="paragraph" w:styleId="29">
    <w:name w:val="index 1"/>
    <w:basedOn w:val="1"/>
    <w:next w:val="1"/>
    <w:unhideWhenUsed/>
    <w:uiPriority w:val="99"/>
    <w:pPr>
      <w:ind w:left="210" w:hanging="210"/>
      <w:jc w:val="left"/>
    </w:pPr>
    <w:rPr>
      <w:rFonts w:ascii="Calibri" w:hAnsi="Calibri"/>
      <w:sz w:val="20"/>
      <w:szCs w:val="20"/>
    </w:rPr>
  </w:style>
  <w:style w:type="paragraph" w:styleId="30">
    <w:name w:val="Subtitle"/>
    <w:basedOn w:val="1"/>
    <w:next w:val="1"/>
    <w:link w:val="113"/>
    <w:qFormat/>
    <w:uiPriority w:val="0"/>
    <w:pPr>
      <w:spacing w:before="240" w:after="60" w:line="312" w:lineRule="auto"/>
      <w:ind w:firstLine="425"/>
      <w:jc w:val="center"/>
      <w:outlineLvl w:val="1"/>
    </w:pPr>
    <w:rPr>
      <w:rFonts w:ascii="Cambria" w:hAnsi="Cambria"/>
      <w:b/>
      <w:bCs/>
      <w:kern w:val="28"/>
      <w:sz w:val="32"/>
      <w:szCs w:val="32"/>
    </w:rPr>
  </w:style>
  <w:style w:type="paragraph" w:styleId="31">
    <w:name w:val="index 7"/>
    <w:basedOn w:val="1"/>
    <w:next w:val="1"/>
    <w:unhideWhenUsed/>
    <w:uiPriority w:val="99"/>
    <w:pPr>
      <w:ind w:left="1470" w:hanging="210"/>
      <w:jc w:val="left"/>
    </w:pPr>
    <w:rPr>
      <w:rFonts w:ascii="Calibri" w:hAnsi="Calibri"/>
      <w:sz w:val="20"/>
      <w:szCs w:val="20"/>
    </w:rPr>
  </w:style>
  <w:style w:type="paragraph" w:styleId="32">
    <w:name w:val="index 9"/>
    <w:basedOn w:val="1"/>
    <w:next w:val="1"/>
    <w:unhideWhenUsed/>
    <w:uiPriority w:val="99"/>
    <w:pPr>
      <w:ind w:left="1890" w:hanging="210"/>
      <w:jc w:val="left"/>
    </w:pPr>
    <w:rPr>
      <w:rFonts w:ascii="Calibri" w:hAnsi="Calibri"/>
      <w:sz w:val="20"/>
      <w:szCs w:val="20"/>
    </w:rPr>
  </w:style>
  <w:style w:type="paragraph" w:styleId="33">
    <w:name w:val="table of figures"/>
    <w:basedOn w:val="1"/>
    <w:next w:val="1"/>
    <w:unhideWhenUsed/>
    <w:uiPriority w:val="99"/>
    <w:pPr>
      <w:ind w:left="420" w:hanging="420"/>
      <w:jc w:val="left"/>
    </w:pPr>
    <w:rPr>
      <w:rFonts w:ascii="Calibri" w:hAnsi="Calibri"/>
      <w:smallCaps/>
      <w:sz w:val="20"/>
      <w:szCs w:val="20"/>
    </w:rPr>
  </w:style>
  <w:style w:type="paragraph" w:styleId="34">
    <w:name w:val="toc 2"/>
    <w:basedOn w:val="1"/>
    <w:next w:val="1"/>
    <w:unhideWhenUsed/>
    <w:qFormat/>
    <w:uiPriority w:val="39"/>
    <w:pPr>
      <w:ind w:left="210"/>
      <w:jc w:val="left"/>
    </w:pPr>
    <w:rPr>
      <w:smallCaps/>
      <w:sz w:val="20"/>
    </w:rPr>
  </w:style>
  <w:style w:type="paragraph" w:styleId="35">
    <w:name w:val="toc 9"/>
    <w:basedOn w:val="1"/>
    <w:next w:val="1"/>
    <w:semiHidden/>
    <w:unhideWhenUsed/>
    <w:uiPriority w:val="39"/>
    <w:pPr>
      <w:ind w:left="3360" w:leftChars="1600"/>
    </w:pPr>
  </w:style>
  <w:style w:type="paragraph" w:styleId="36">
    <w:name w:val="Normal (Web)"/>
    <w:basedOn w:val="1"/>
    <w:unhideWhenUsed/>
    <w:uiPriority w:val="99"/>
    <w:pPr>
      <w:widowControl/>
      <w:spacing w:before="100" w:beforeAutospacing="1" w:after="100" w:afterAutospacing="1"/>
      <w:jc w:val="left"/>
    </w:pPr>
    <w:rPr>
      <w:rFonts w:ascii="宋体" w:hAnsi="宋体" w:cs="宋体"/>
      <w:kern w:val="0"/>
      <w:sz w:val="24"/>
    </w:rPr>
  </w:style>
  <w:style w:type="paragraph" w:styleId="37">
    <w:name w:val="index 2"/>
    <w:basedOn w:val="1"/>
    <w:next w:val="1"/>
    <w:unhideWhenUsed/>
    <w:uiPriority w:val="99"/>
    <w:pPr>
      <w:ind w:left="420" w:hanging="210"/>
      <w:jc w:val="left"/>
    </w:pPr>
    <w:rPr>
      <w:rFonts w:ascii="Calibri" w:hAnsi="Calibri"/>
      <w:sz w:val="20"/>
      <w:szCs w:val="20"/>
    </w:rPr>
  </w:style>
  <w:style w:type="paragraph" w:styleId="38">
    <w:name w:val="Title"/>
    <w:basedOn w:val="1"/>
    <w:next w:val="1"/>
    <w:link w:val="93"/>
    <w:qFormat/>
    <w:uiPriority w:val="10"/>
    <w:pPr>
      <w:spacing w:before="240" w:after="60"/>
      <w:jc w:val="center"/>
      <w:outlineLvl w:val="0"/>
    </w:pPr>
    <w:rPr>
      <w:rFonts w:ascii="Cambria" w:hAnsi="Cambria"/>
      <w:b/>
      <w:bCs/>
      <w:sz w:val="32"/>
      <w:szCs w:val="32"/>
    </w:rPr>
  </w:style>
  <w:style w:type="paragraph" w:styleId="39">
    <w:name w:val="Body Text First Indent"/>
    <w:basedOn w:val="1"/>
    <w:link w:val="100"/>
    <w:uiPriority w:val="0"/>
    <w:pPr>
      <w:autoSpaceDE w:val="0"/>
      <w:autoSpaceDN w:val="0"/>
      <w:adjustRightInd w:val="0"/>
      <w:spacing w:line="360" w:lineRule="auto"/>
      <w:ind w:firstLine="425"/>
    </w:pPr>
    <w:rPr>
      <w:kern w:val="0"/>
      <w:szCs w:val="20"/>
    </w:rPr>
  </w:style>
  <w:style w:type="paragraph" w:styleId="40">
    <w:name w:val="Body Text First Indent 2"/>
    <w:basedOn w:val="18"/>
    <w:link w:val="103"/>
    <w:semiHidden/>
    <w:unhideWhenUsed/>
    <w:uiPriority w:val="99"/>
    <w:pPr>
      <w:ind w:firstLine="420" w:firstLineChars="200"/>
    </w:pPr>
  </w:style>
  <w:style w:type="table" w:styleId="42">
    <w:name w:val="Table Grid"/>
    <w:basedOn w:val="41"/>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4">
    <w:name w:val="Strong"/>
    <w:basedOn w:val="43"/>
    <w:qFormat/>
    <w:uiPriority w:val="22"/>
    <w:rPr>
      <w:b/>
      <w:bCs/>
    </w:rPr>
  </w:style>
  <w:style w:type="character" w:styleId="45">
    <w:name w:val="page number"/>
    <w:uiPriority w:val="0"/>
  </w:style>
  <w:style w:type="character" w:styleId="46">
    <w:name w:val="Hyperlink"/>
    <w:unhideWhenUsed/>
    <w:qFormat/>
    <w:uiPriority w:val="99"/>
    <w:rPr>
      <w:color w:val="0000FF"/>
      <w:u w:val="single"/>
    </w:rPr>
  </w:style>
  <w:style w:type="character" w:customStyle="1" w:styleId="47">
    <w:name w:val="标题 1 Char"/>
    <w:basedOn w:val="43"/>
    <w:link w:val="2"/>
    <w:uiPriority w:val="0"/>
    <w:rPr>
      <w:rFonts w:ascii="Arial" w:hAnsi="Arial" w:eastAsia="宋体" w:cs="Times New Roman"/>
      <w:kern w:val="44"/>
      <w:sz w:val="32"/>
      <w:szCs w:val="32"/>
    </w:rPr>
  </w:style>
  <w:style w:type="character" w:customStyle="1" w:styleId="48">
    <w:name w:val="标题 2 Char"/>
    <w:basedOn w:val="43"/>
    <w:link w:val="3"/>
    <w:uiPriority w:val="0"/>
    <w:rPr>
      <w:rFonts w:ascii="Arial" w:hAnsi="Arial" w:eastAsia="宋体" w:cs="Times New Roman"/>
      <w:sz w:val="28"/>
      <w:szCs w:val="32"/>
    </w:rPr>
  </w:style>
  <w:style w:type="character" w:customStyle="1" w:styleId="49">
    <w:name w:val="标题 3 Char"/>
    <w:basedOn w:val="43"/>
    <w:link w:val="4"/>
    <w:uiPriority w:val="0"/>
    <w:rPr>
      <w:rFonts w:ascii="Arial" w:hAnsi="Arial" w:eastAsia="宋体" w:cs="Times New Roman"/>
      <w:sz w:val="24"/>
      <w:szCs w:val="32"/>
    </w:rPr>
  </w:style>
  <w:style w:type="character" w:customStyle="1" w:styleId="50">
    <w:name w:val="标题 4 Char"/>
    <w:basedOn w:val="43"/>
    <w:link w:val="5"/>
    <w:uiPriority w:val="0"/>
    <w:rPr>
      <w:rFonts w:ascii="Arial" w:hAnsi="Arial" w:eastAsia="黑体" w:cs="Times New Roman"/>
      <w:b/>
      <w:bCs/>
      <w:sz w:val="28"/>
      <w:szCs w:val="28"/>
    </w:rPr>
  </w:style>
  <w:style w:type="character" w:customStyle="1" w:styleId="51">
    <w:name w:val="标题 5 Char"/>
    <w:basedOn w:val="43"/>
    <w:link w:val="6"/>
    <w:uiPriority w:val="9"/>
    <w:rPr>
      <w:rFonts w:ascii="Arial" w:hAnsi="Arial" w:eastAsia="宋体" w:cs="Times New Roman"/>
      <w:sz w:val="28"/>
      <w:szCs w:val="28"/>
    </w:rPr>
  </w:style>
  <w:style w:type="character" w:customStyle="1" w:styleId="52">
    <w:name w:val="标题 6 Char"/>
    <w:basedOn w:val="43"/>
    <w:link w:val="7"/>
    <w:semiHidden/>
    <w:qFormat/>
    <w:uiPriority w:val="9"/>
    <w:rPr>
      <w:rFonts w:ascii="Arial" w:hAnsi="Arial" w:eastAsia="黑体" w:cs="Times New Roman"/>
      <w:b/>
      <w:bCs/>
      <w:sz w:val="24"/>
      <w:szCs w:val="24"/>
    </w:rPr>
  </w:style>
  <w:style w:type="character" w:customStyle="1" w:styleId="53">
    <w:name w:val="标题 7 Char"/>
    <w:basedOn w:val="43"/>
    <w:link w:val="8"/>
    <w:semiHidden/>
    <w:uiPriority w:val="9"/>
    <w:rPr>
      <w:rFonts w:ascii="Arial" w:hAnsi="Arial" w:eastAsia="宋体" w:cs="Times New Roman"/>
      <w:b/>
      <w:bCs/>
      <w:sz w:val="24"/>
      <w:szCs w:val="24"/>
    </w:rPr>
  </w:style>
  <w:style w:type="character" w:customStyle="1" w:styleId="54">
    <w:name w:val="标题 8 Char"/>
    <w:basedOn w:val="43"/>
    <w:link w:val="9"/>
    <w:semiHidden/>
    <w:uiPriority w:val="9"/>
    <w:rPr>
      <w:rFonts w:ascii="Arial" w:hAnsi="Arial" w:eastAsia="黑体" w:cs="Times New Roman"/>
      <w:sz w:val="24"/>
      <w:szCs w:val="24"/>
    </w:rPr>
  </w:style>
  <w:style w:type="character" w:customStyle="1" w:styleId="55">
    <w:name w:val="标题 9 Char"/>
    <w:basedOn w:val="43"/>
    <w:link w:val="10"/>
    <w:semiHidden/>
    <w:uiPriority w:val="9"/>
    <w:rPr>
      <w:rFonts w:ascii="Arial" w:hAnsi="Arial" w:eastAsia="黑体" w:cs="Times New Roman"/>
      <w:szCs w:val="21"/>
    </w:rPr>
  </w:style>
  <w:style w:type="paragraph" w:styleId="56">
    <w:name w:val="List Paragraph"/>
    <w:basedOn w:val="1"/>
    <w:link w:val="57"/>
    <w:qFormat/>
    <w:uiPriority w:val="34"/>
    <w:pPr>
      <w:spacing w:line="400" w:lineRule="exact"/>
      <w:ind w:firstLine="420" w:firstLineChars="200"/>
    </w:pPr>
    <w:rPr>
      <w:rFonts w:ascii="Arial" w:hAnsi="Arial"/>
    </w:rPr>
  </w:style>
  <w:style w:type="character" w:customStyle="1" w:styleId="57">
    <w:name w:val="列出段落 Char"/>
    <w:link w:val="56"/>
    <w:qFormat/>
    <w:locked/>
    <w:uiPriority w:val="34"/>
    <w:rPr>
      <w:rFonts w:ascii="Arial" w:hAnsi="Arial" w:eastAsia="宋体" w:cs="Times New Roman"/>
      <w:szCs w:val="24"/>
    </w:rPr>
  </w:style>
  <w:style w:type="paragraph" w:customStyle="1" w:styleId="58">
    <w:name w:val="封面公司名"/>
    <w:uiPriority w:val="0"/>
    <w:pPr>
      <w:jc w:val="center"/>
    </w:pPr>
    <w:rPr>
      <w:rFonts w:ascii="Arial" w:hAnsi="Arial" w:eastAsia="楷体_GB2312" w:cs="宋体"/>
      <w:bCs/>
      <w:kern w:val="2"/>
      <w:sz w:val="28"/>
      <w:szCs w:val="20"/>
      <w:lang w:val="en-US" w:eastAsia="zh-CN" w:bidi="ar-SA"/>
    </w:rPr>
  </w:style>
  <w:style w:type="paragraph" w:customStyle="1" w:styleId="59">
    <w:name w:val="文章标题"/>
    <w:next w:val="58"/>
    <w:uiPriority w:val="0"/>
    <w:pPr>
      <w:spacing w:beforeLines="800" w:afterLines="100"/>
      <w:jc w:val="center"/>
    </w:pPr>
    <w:rPr>
      <w:rFonts w:ascii="Arial" w:hAnsi="Arial" w:eastAsia="黑体" w:cs="宋体"/>
      <w:bCs/>
      <w:kern w:val="2"/>
      <w:sz w:val="52"/>
      <w:szCs w:val="20"/>
      <w:lang w:val="en-US" w:eastAsia="zh-CN" w:bidi="ar-SA"/>
    </w:rPr>
  </w:style>
  <w:style w:type="paragraph" w:customStyle="1" w:styleId="60">
    <w:name w:val="a"/>
    <w:basedOn w:val="1"/>
    <w:uiPriority w:val="0"/>
    <w:pPr>
      <w:widowControl/>
      <w:numPr>
        <w:ilvl w:val="4"/>
        <w:numId w:val="2"/>
      </w:numPr>
      <w:spacing w:before="100" w:beforeAutospacing="1" w:after="100" w:afterAutospacing="1"/>
      <w:ind w:left="0" w:firstLine="0"/>
      <w:jc w:val="left"/>
    </w:pPr>
    <w:rPr>
      <w:rFonts w:ascii="宋体" w:hAnsi="宋体" w:cs="宋体"/>
      <w:kern w:val="0"/>
      <w:sz w:val="24"/>
    </w:rPr>
  </w:style>
  <w:style w:type="paragraph" w:customStyle="1" w:styleId="61">
    <w:name w:val="a1"/>
    <w:basedOn w:val="1"/>
    <w:uiPriority w:val="0"/>
    <w:pPr>
      <w:widowControl/>
      <w:tabs>
        <w:tab w:val="left" w:pos="1134"/>
      </w:tabs>
      <w:spacing w:before="100" w:beforeAutospacing="1" w:after="100" w:afterAutospacing="1"/>
      <w:jc w:val="left"/>
    </w:pPr>
    <w:rPr>
      <w:rFonts w:ascii="宋体" w:hAnsi="宋体" w:cs="宋体"/>
      <w:kern w:val="0"/>
      <w:sz w:val="24"/>
    </w:rPr>
  </w:style>
  <w:style w:type="paragraph" w:customStyle="1" w:styleId="62">
    <w:name w:val="表格标题文字"/>
    <w:qFormat/>
    <w:uiPriority w:val="0"/>
    <w:pPr>
      <w:tabs>
        <w:tab w:val="left" w:pos="1418"/>
      </w:tabs>
      <w:snapToGrid w:val="0"/>
      <w:spacing w:before="120" w:line="240" w:lineRule="exact"/>
    </w:pPr>
    <w:rPr>
      <w:rFonts w:ascii="Futura Hv" w:hAnsi="Futura Hv" w:eastAsia="黑体" w:cs="Times New Roman"/>
      <w:kern w:val="2"/>
      <w:sz w:val="18"/>
      <w:szCs w:val="21"/>
      <w:lang w:val="en-US" w:eastAsia="zh-CN" w:bidi="ar-SA"/>
    </w:rPr>
  </w:style>
  <w:style w:type="character" w:customStyle="1" w:styleId="63">
    <w:name w:val="表格非标题文字 Char"/>
    <w:link w:val="64"/>
    <w:locked/>
    <w:uiPriority w:val="0"/>
    <w:rPr>
      <w:rFonts w:ascii="Futura Bk" w:hAnsi="Futura Bk"/>
      <w:sz w:val="18"/>
      <w:szCs w:val="21"/>
    </w:rPr>
  </w:style>
  <w:style w:type="paragraph" w:customStyle="1" w:styleId="64">
    <w:name w:val="表格非标题文字"/>
    <w:link w:val="63"/>
    <w:qFormat/>
    <w:uiPriority w:val="0"/>
    <w:pPr>
      <w:numPr>
        <w:ilvl w:val="2"/>
        <w:numId w:val="2"/>
      </w:numPr>
      <w:snapToGrid w:val="0"/>
      <w:spacing w:before="80" w:after="40"/>
      <w:ind w:left="0" w:firstLine="0"/>
    </w:pPr>
    <w:rPr>
      <w:rFonts w:ascii="Futura Bk" w:hAnsi="Futura Bk" w:eastAsiaTheme="minorEastAsia" w:cstheme="minorBidi"/>
      <w:kern w:val="2"/>
      <w:sz w:val="18"/>
      <w:szCs w:val="21"/>
      <w:lang w:val="en-US" w:eastAsia="zh-CN" w:bidi="ar-SA"/>
    </w:rPr>
  </w:style>
  <w:style w:type="table" w:customStyle="1" w:styleId="65">
    <w:name w:val="Table"/>
    <w:basedOn w:val="42"/>
    <w:qFormat/>
    <w:uiPriority w:val="0"/>
    <w:pPr>
      <w:widowControl w:val="0"/>
      <w:numPr>
        <w:ilvl w:val="5"/>
        <w:numId w:val="2"/>
      </w:numPr>
      <w:tabs>
        <w:tab w:val="left" w:pos="360"/>
        <w:tab w:val="clear" w:pos="284"/>
      </w:tabs>
      <w:snapToGrid w:val="0"/>
      <w:spacing w:before="80"/>
      <w:ind w:left="0" w:firstLine="0"/>
    </w:pPr>
    <w:rPr>
      <w:rFonts w:ascii="Arial" w:hAnsi="Arial" w:eastAsia="宋体" w:cs="Times New Roman"/>
      <w:kern w:val="0"/>
      <w:sz w:val="18"/>
      <w:szCs w:val="20"/>
    </w:rPr>
    <w:tblPr>
      <w:tblBorders>
        <w:top w:val="single" w:color="auto" w:sz="8" w:space="0"/>
        <w:bottom w:val="single" w:color="auto" w:sz="8" w:space="0"/>
        <w:insideH w:val="single" w:color="808080" w:sz="4" w:space="0"/>
        <w:insideV w:val="single" w:color="808080" w:sz="4" w:space="0"/>
      </w:tblBorders>
      <w:tblCellMar>
        <w:top w:w="0" w:type="dxa"/>
        <w:left w:w="108" w:type="dxa"/>
        <w:bottom w:w="0" w:type="dxa"/>
        <w:right w:w="108" w:type="dxa"/>
      </w:tblCellMar>
    </w:tblPr>
    <w:tcPr>
      <w:vAlign w:val="center"/>
    </w:tcPr>
    <w:tblStylePr w:type="firstRow">
      <w:tcPr>
        <w:tcBorders>
          <w:top w:val="single" w:color="auto" w:sz="8" w:space="0"/>
          <w:left w:val="nil"/>
          <w:bottom w:val="single" w:color="808080" w:sz="4" w:space="0"/>
          <w:right w:val="nil"/>
          <w:insideH w:val="nil"/>
          <w:insideV w:val="single" w:sz="4" w:space="0"/>
          <w:tl2br w:val="nil"/>
          <w:tr2bl w:val="nil"/>
        </w:tcBorders>
        <w:shd w:val="clear" w:color="auto" w:fill="D9D9D9"/>
      </w:tcPr>
    </w:tblStylePr>
    <w:tblStylePr w:type="lastRow">
      <w:tcPr>
        <w:tcBorders>
          <w:top w:val="single" w:color="808080" w:sz="4" w:space="0"/>
          <w:left w:val="nil"/>
          <w:bottom w:val="single" w:color="auto" w:sz="8" w:space="0"/>
          <w:right w:val="nil"/>
          <w:insideH w:val="nil"/>
          <w:insideV w:val="single" w:sz="4" w:space="0"/>
          <w:tl2br w:val="nil"/>
          <w:tr2bl w:val="nil"/>
        </w:tcBorders>
      </w:tcPr>
    </w:tblStylePr>
  </w:style>
  <w:style w:type="character" w:customStyle="1" w:styleId="66">
    <w:name w:val="批注框文本 Char"/>
    <w:basedOn w:val="43"/>
    <w:link w:val="23"/>
    <w:semiHidden/>
    <w:uiPriority w:val="99"/>
    <w:rPr>
      <w:rFonts w:ascii="Times New Roman" w:hAnsi="Times New Roman" w:eastAsia="宋体" w:cs="Times New Roman"/>
      <w:sz w:val="18"/>
      <w:szCs w:val="18"/>
    </w:rPr>
  </w:style>
  <w:style w:type="character" w:customStyle="1" w:styleId="67">
    <w:name w:val="页眉 Char"/>
    <w:basedOn w:val="43"/>
    <w:link w:val="25"/>
    <w:uiPriority w:val="99"/>
    <w:rPr>
      <w:rFonts w:ascii="Times New Roman" w:hAnsi="Times New Roman" w:eastAsia="宋体" w:cs="Times New Roman"/>
      <w:sz w:val="18"/>
      <w:szCs w:val="18"/>
    </w:rPr>
  </w:style>
  <w:style w:type="character" w:customStyle="1" w:styleId="68">
    <w:name w:val="页脚 Char"/>
    <w:basedOn w:val="43"/>
    <w:link w:val="24"/>
    <w:uiPriority w:val="99"/>
    <w:rPr>
      <w:rFonts w:ascii="Times New Roman" w:hAnsi="Times New Roman" w:eastAsia="宋体" w:cs="Times New Roman"/>
      <w:sz w:val="18"/>
      <w:szCs w:val="18"/>
    </w:rPr>
  </w:style>
  <w:style w:type="character" w:customStyle="1" w:styleId="69">
    <w:name w:val="正文缩进 Char1"/>
    <w:link w:val="12"/>
    <w:uiPriority w:val="0"/>
    <w:rPr>
      <w:rFonts w:ascii="Times New Roman" w:hAnsi="Times New Roman" w:eastAsia="宋体" w:cs="Times New Roman"/>
      <w:szCs w:val="24"/>
    </w:rPr>
  </w:style>
  <w:style w:type="paragraph" w:customStyle="1" w:styleId="70">
    <w:name w:val="技术方案正文样式"/>
    <w:basedOn w:val="1"/>
    <w:uiPriority w:val="0"/>
    <w:pPr>
      <w:autoSpaceDE w:val="0"/>
      <w:autoSpaceDN w:val="0"/>
      <w:adjustRightInd w:val="0"/>
      <w:spacing w:line="400" w:lineRule="exact"/>
      <w:ind w:firstLine="480" w:firstLineChars="200"/>
    </w:pPr>
    <w:rPr>
      <w:rFonts w:ascii="宋体" w:hAnsi="宋体" w:cs="宋体"/>
      <w:sz w:val="24"/>
      <w:szCs w:val="21"/>
    </w:rPr>
  </w:style>
  <w:style w:type="paragraph" w:customStyle="1" w:styleId="71">
    <w:name w:val="列出段落1"/>
    <w:basedOn w:val="1"/>
    <w:qFormat/>
    <w:uiPriority w:val="34"/>
    <w:pPr>
      <w:ind w:firstLine="420" w:firstLineChars="200"/>
    </w:pPr>
  </w:style>
  <w:style w:type="paragraph" w:customStyle="1" w:styleId="72">
    <w:name w:val="正文 New New New New"/>
    <w:qFormat/>
    <w:uiPriority w:val="0"/>
    <w:pPr>
      <w:widowControl w:val="0"/>
      <w:jc w:val="both"/>
    </w:pPr>
    <w:rPr>
      <w:rFonts w:ascii="Times New Roman" w:hAnsi="Times New Roman" w:eastAsia="宋体" w:cs="Times New Roman"/>
      <w:kern w:val="0"/>
      <w:sz w:val="20"/>
      <w:szCs w:val="20"/>
      <w:lang w:val="en-US" w:eastAsia="zh-CN" w:bidi="ar-SA"/>
    </w:rPr>
  </w:style>
  <w:style w:type="paragraph" w:customStyle="1" w:styleId="73">
    <w:name w:val="样式 Verdana 首行缩进:  0.74 厘米"/>
    <w:basedOn w:val="1"/>
    <w:uiPriority w:val="0"/>
    <w:pPr>
      <w:spacing w:line="360" w:lineRule="auto"/>
      <w:ind w:firstLine="420"/>
    </w:pPr>
    <w:rPr>
      <w:rFonts w:ascii="Verdana" w:hAnsi="Verdana" w:cs="宋体"/>
      <w:sz w:val="24"/>
      <w:szCs w:val="20"/>
    </w:rPr>
  </w:style>
  <w:style w:type="paragraph" w:customStyle="1" w:styleId="74">
    <w:name w:val="正文段落"/>
    <w:basedOn w:val="1"/>
    <w:uiPriority w:val="0"/>
    <w:pPr>
      <w:spacing w:line="360" w:lineRule="auto"/>
      <w:ind w:firstLine="440" w:firstLineChars="200"/>
    </w:pPr>
    <w:rPr>
      <w:rFonts w:ascii="宋体" w:hAnsi="宋体" w:cs="宋体"/>
      <w:kern w:val="0"/>
      <w:szCs w:val="20"/>
    </w:rPr>
  </w:style>
  <w:style w:type="paragraph" w:styleId="75">
    <w:name w:val="No Spacing"/>
    <w:link w:val="76"/>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76">
    <w:name w:val="无间隔 Char"/>
    <w:basedOn w:val="43"/>
    <w:link w:val="75"/>
    <w:uiPriority w:val="1"/>
    <w:rPr>
      <w:rFonts w:ascii="Times New Roman" w:hAnsi="Times New Roman" w:eastAsia="宋体" w:cs="Times New Roman"/>
      <w:szCs w:val="24"/>
    </w:rPr>
  </w:style>
  <w:style w:type="paragraph" w:customStyle="1" w:styleId="77">
    <w:name w:val="Table Paragraph"/>
    <w:basedOn w:val="1"/>
    <w:qFormat/>
    <w:uiPriority w:val="1"/>
    <w:pPr>
      <w:jc w:val="left"/>
    </w:pPr>
    <w:rPr>
      <w:rFonts w:asciiTheme="minorHAnsi" w:hAnsiTheme="minorHAnsi" w:eastAsiaTheme="minorEastAsia" w:cstheme="minorBidi"/>
      <w:kern w:val="0"/>
      <w:sz w:val="22"/>
      <w:szCs w:val="22"/>
      <w:lang w:eastAsia="en-US"/>
    </w:rPr>
  </w:style>
  <w:style w:type="table" w:customStyle="1" w:styleId="78">
    <w:name w:val="Table Normal"/>
    <w:uiPriority w:val="0"/>
    <w:pPr>
      <w:pBdr>
        <w:top w:val="none" w:color="auto" w:sz="0" w:space="0"/>
        <w:left w:val="none" w:color="auto" w:sz="0" w:space="0"/>
        <w:bottom w:val="none" w:color="auto" w:sz="0" w:space="0"/>
        <w:right w:val="none" w:color="auto" w:sz="0" w:space="0"/>
        <w:between w:val="none" w:color="auto" w:sz="0" w:space="0"/>
      </w:pBdr>
    </w:pPr>
    <w:rPr>
      <w:rFonts w:ascii="Times New Roman" w:hAnsi="Times New Roman" w:cs="Times New Roman"/>
      <w:kern w:val="0"/>
      <w:sz w:val="20"/>
      <w:szCs w:val="20"/>
    </w:rPr>
    <w:tblPr>
      <w:tblCellMar>
        <w:top w:w="0" w:type="dxa"/>
        <w:left w:w="0" w:type="dxa"/>
        <w:bottom w:w="0" w:type="dxa"/>
        <w:right w:w="0" w:type="dxa"/>
      </w:tblCellMar>
    </w:tblPr>
  </w:style>
  <w:style w:type="paragraph" w:customStyle="1" w:styleId="79">
    <w:name w:val="表格样式 2"/>
    <w:uiPriority w:val="0"/>
    <w:pPr>
      <w:pBdr>
        <w:top w:val="none" w:color="auto" w:sz="0" w:space="0"/>
        <w:left w:val="none" w:color="auto" w:sz="0" w:space="0"/>
        <w:bottom w:val="none" w:color="auto" w:sz="0" w:space="0"/>
        <w:right w:val="none" w:color="auto" w:sz="0" w:space="0"/>
        <w:between w:val="none" w:color="auto" w:sz="0" w:space="0"/>
      </w:pBdr>
    </w:pPr>
    <w:rPr>
      <w:rFonts w:ascii="Helvetica" w:hAnsi="Helvetica" w:eastAsia="Helvetica" w:cs="Helvetica"/>
      <w:color w:val="000000"/>
      <w:kern w:val="0"/>
      <w:sz w:val="20"/>
      <w:szCs w:val="20"/>
      <w:lang w:val="en-US" w:eastAsia="zh-CN" w:bidi="ar-SA"/>
    </w:rPr>
  </w:style>
  <w:style w:type="paragraph" w:customStyle="1" w:styleId="80">
    <w:name w:val="正文_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1">
    <w:name w:val="Item List in Table"/>
    <w:basedOn w:val="1"/>
    <w:link w:val="82"/>
    <w:qFormat/>
    <w:uiPriority w:val="0"/>
    <w:pPr>
      <w:numPr>
        <w:ilvl w:val="0"/>
        <w:numId w:val="3"/>
      </w:numPr>
      <w:jc w:val="left"/>
    </w:pPr>
    <w:rPr>
      <w:rFonts w:ascii="Tahoma" w:hAnsi="Tahoma"/>
      <w:szCs w:val="21"/>
    </w:rPr>
  </w:style>
  <w:style w:type="character" w:customStyle="1" w:styleId="82">
    <w:name w:val="Item List in Table Char Char"/>
    <w:link w:val="81"/>
    <w:uiPriority w:val="0"/>
    <w:rPr>
      <w:rFonts w:ascii="Tahoma" w:hAnsi="Tahoma" w:eastAsia="宋体" w:cs="Times New Roman"/>
      <w:szCs w:val="21"/>
    </w:rPr>
  </w:style>
  <w:style w:type="paragraph" w:customStyle="1" w:styleId="83">
    <w:name w:val="列出段落 New New"/>
    <w:basedOn w:val="1"/>
    <w:qFormat/>
    <w:uiPriority w:val="0"/>
    <w:pPr>
      <w:ind w:firstLine="420" w:firstLineChars="200"/>
    </w:pPr>
  </w:style>
  <w:style w:type="paragraph" w:customStyle="1" w:styleId="84">
    <w:name w:val="缺省文本"/>
    <w:basedOn w:val="1"/>
    <w:link w:val="85"/>
    <w:uiPriority w:val="0"/>
    <w:pPr>
      <w:autoSpaceDE w:val="0"/>
      <w:autoSpaceDN w:val="0"/>
      <w:adjustRightInd w:val="0"/>
      <w:ind w:firstLine="454"/>
    </w:pPr>
    <w:rPr>
      <w:kern w:val="0"/>
      <w:sz w:val="24"/>
      <w:szCs w:val="20"/>
    </w:rPr>
  </w:style>
  <w:style w:type="character" w:customStyle="1" w:styleId="85">
    <w:name w:val="缺省文本 Char"/>
    <w:link w:val="84"/>
    <w:uiPriority w:val="0"/>
    <w:rPr>
      <w:rFonts w:ascii="Times New Roman" w:hAnsi="Times New Roman" w:eastAsia="宋体" w:cs="Times New Roman"/>
      <w:kern w:val="0"/>
      <w:sz w:val="24"/>
      <w:szCs w:val="20"/>
    </w:rPr>
  </w:style>
  <w:style w:type="character" w:customStyle="1" w:styleId="86">
    <w:name w:val="标题 3 Char1"/>
    <w:uiPriority w:val="0"/>
    <w:rPr>
      <w:rFonts w:ascii="Arial" w:hAnsi="Arial" w:eastAsia="黑体" w:cs="Arial"/>
      <w:bCs/>
      <w:kern w:val="2"/>
      <w:sz w:val="24"/>
      <w:szCs w:val="32"/>
    </w:rPr>
  </w:style>
  <w:style w:type="character" w:customStyle="1" w:styleId="87">
    <w:name w:val="Figure Char"/>
    <w:link w:val="88"/>
    <w:locked/>
    <w:uiPriority w:val="0"/>
    <w:rPr>
      <w:rFonts w:ascii="Arial" w:hAnsi="Arial" w:eastAsia="宋体" w:cs="Arial"/>
      <w:szCs w:val="21"/>
    </w:rPr>
  </w:style>
  <w:style w:type="paragraph" w:customStyle="1" w:styleId="88">
    <w:name w:val="Figure"/>
    <w:basedOn w:val="1"/>
    <w:next w:val="1"/>
    <w:link w:val="87"/>
    <w:uiPriority w:val="0"/>
    <w:pPr>
      <w:keepNext/>
      <w:widowControl/>
      <w:snapToGrid w:val="0"/>
      <w:spacing w:before="80" w:after="80" w:line="300" w:lineRule="auto"/>
      <w:ind w:left="1134"/>
      <w:jc w:val="center"/>
    </w:pPr>
    <w:rPr>
      <w:rFonts w:ascii="Arial" w:hAnsi="Arial" w:cs="Arial"/>
      <w:szCs w:val="21"/>
    </w:rPr>
  </w:style>
  <w:style w:type="paragraph" w:customStyle="1" w:styleId="89">
    <w:name w:val="封面文档标题"/>
    <w:basedOn w:val="1"/>
    <w:uiPriority w:val="0"/>
    <w:pPr>
      <w:autoSpaceDE w:val="0"/>
      <w:autoSpaceDN w:val="0"/>
      <w:adjustRightInd w:val="0"/>
      <w:spacing w:before="480" w:after="360"/>
      <w:jc w:val="center"/>
    </w:pPr>
    <w:rPr>
      <w:rFonts w:ascii="Arial" w:hAnsi="Arial" w:eastAsia="黑体"/>
      <w:bCs/>
      <w:kern w:val="0"/>
      <w:sz w:val="48"/>
      <w:szCs w:val="44"/>
    </w:rPr>
  </w:style>
  <w:style w:type="paragraph" w:customStyle="1" w:styleId="90">
    <w:name w:val="封面华为技术"/>
    <w:basedOn w:val="1"/>
    <w:uiPriority w:val="0"/>
    <w:pPr>
      <w:autoSpaceDE w:val="0"/>
      <w:autoSpaceDN w:val="0"/>
      <w:adjustRightInd w:val="0"/>
      <w:spacing w:before="120"/>
      <w:jc w:val="center"/>
    </w:pPr>
    <w:rPr>
      <w:rFonts w:ascii="Arial" w:hAnsi="Arial" w:eastAsia="黑体"/>
      <w:kern w:val="0"/>
      <w:sz w:val="32"/>
      <w:szCs w:val="32"/>
    </w:rPr>
  </w:style>
  <w:style w:type="paragraph" w:customStyle="1" w:styleId="91">
    <w:name w:val="封面表格文本"/>
    <w:basedOn w:val="1"/>
    <w:uiPriority w:val="0"/>
    <w:pPr>
      <w:autoSpaceDE w:val="0"/>
      <w:autoSpaceDN w:val="0"/>
      <w:adjustRightInd w:val="0"/>
      <w:spacing w:before="80" w:after="80"/>
      <w:jc w:val="center"/>
    </w:pPr>
    <w:rPr>
      <w:rFonts w:ascii="Arial" w:hAnsi="Arial"/>
      <w:kern w:val="0"/>
      <w:szCs w:val="21"/>
    </w:rPr>
  </w:style>
  <w:style w:type="character" w:customStyle="1" w:styleId="92">
    <w:name w:val="文档结构图 Char"/>
    <w:basedOn w:val="43"/>
    <w:link w:val="15"/>
    <w:semiHidden/>
    <w:uiPriority w:val="99"/>
    <w:rPr>
      <w:rFonts w:ascii="宋体" w:hAnsi="Calibri" w:eastAsia="宋体" w:cs="Times New Roman"/>
      <w:sz w:val="18"/>
      <w:szCs w:val="18"/>
    </w:rPr>
  </w:style>
  <w:style w:type="character" w:customStyle="1" w:styleId="93">
    <w:name w:val="标题 Char"/>
    <w:basedOn w:val="43"/>
    <w:link w:val="38"/>
    <w:uiPriority w:val="10"/>
    <w:rPr>
      <w:rFonts w:ascii="Cambria" w:hAnsi="Cambria" w:eastAsia="宋体" w:cs="Times New Roman"/>
      <w:b/>
      <w:bCs/>
      <w:sz w:val="32"/>
      <w:szCs w:val="32"/>
    </w:rPr>
  </w:style>
  <w:style w:type="paragraph" w:customStyle="1" w:styleId="94">
    <w:name w:val="style10"/>
    <w:basedOn w:val="1"/>
    <w:uiPriority w:val="0"/>
    <w:pPr>
      <w:widowControl/>
      <w:spacing w:line="528" w:lineRule="auto"/>
      <w:jc w:val="left"/>
    </w:pPr>
    <w:rPr>
      <w:rFonts w:ascii="Trebuchet MS" w:hAnsi="Trebuchet MS" w:cs="宋体"/>
      <w:color w:val="333333"/>
      <w:kern w:val="0"/>
      <w:sz w:val="18"/>
      <w:szCs w:val="18"/>
    </w:rPr>
  </w:style>
  <w:style w:type="character" w:customStyle="1" w:styleId="95">
    <w:name w:val="apple-converted-space"/>
    <w:basedOn w:val="43"/>
    <w:uiPriority w:val="0"/>
  </w:style>
  <w:style w:type="paragraph" w:customStyle="1" w:styleId="96">
    <w:name w:val="figuredescription"/>
    <w:basedOn w:val="1"/>
    <w:uiPriority w:val="0"/>
    <w:pPr>
      <w:widowControl/>
      <w:spacing w:before="100" w:beforeAutospacing="1" w:after="100" w:afterAutospacing="1"/>
      <w:jc w:val="left"/>
    </w:pPr>
    <w:rPr>
      <w:rFonts w:ascii="宋体" w:hAnsi="宋体" w:cs="宋体"/>
      <w:kern w:val="0"/>
      <w:sz w:val="24"/>
    </w:rPr>
  </w:style>
  <w:style w:type="character" w:customStyle="1" w:styleId="97">
    <w:name w:val="Book Title"/>
    <w:qFormat/>
    <w:uiPriority w:val="33"/>
    <w:rPr>
      <w:b/>
      <w:bCs/>
      <w:i/>
      <w:iCs/>
      <w:spacing w:val="5"/>
    </w:rPr>
  </w:style>
  <w:style w:type="paragraph" w:customStyle="1" w:styleId="98">
    <w:name w:val="TOC Heading"/>
    <w:basedOn w:val="2"/>
    <w:next w:val="1"/>
    <w:unhideWhenUsed/>
    <w:qFormat/>
    <w:uiPriority w:val="39"/>
    <w:pPr>
      <w:widowControl/>
      <w:tabs>
        <w:tab w:val="clear" w:pos="574"/>
      </w:tabs>
      <w:spacing w:beforeLines="0" w:line="276" w:lineRule="auto"/>
      <w:ind w:left="0" w:firstLine="0"/>
      <w:outlineLvl w:val="9"/>
    </w:pPr>
    <w:rPr>
      <w:rFonts w:ascii="Calibri Light" w:hAnsi="Calibri Light"/>
      <w:b/>
      <w:bCs/>
      <w:color w:val="2E74B5"/>
      <w:kern w:val="0"/>
      <w:sz w:val="28"/>
      <w:szCs w:val="28"/>
    </w:rPr>
  </w:style>
  <w:style w:type="character" w:customStyle="1" w:styleId="99">
    <w:name w:val="正文文本 Char"/>
    <w:basedOn w:val="43"/>
    <w:link w:val="17"/>
    <w:semiHidden/>
    <w:uiPriority w:val="99"/>
    <w:rPr>
      <w:rFonts w:ascii="Calibri" w:hAnsi="Calibri" w:eastAsia="宋体" w:cs="Times New Roman"/>
    </w:rPr>
  </w:style>
  <w:style w:type="character" w:customStyle="1" w:styleId="100">
    <w:name w:val="正文首行缩进 Char"/>
    <w:basedOn w:val="99"/>
    <w:link w:val="39"/>
    <w:uiPriority w:val="0"/>
    <w:rPr>
      <w:rFonts w:ascii="Times New Roman" w:hAnsi="Times New Roman" w:eastAsia="宋体" w:cs="Times New Roman"/>
      <w:kern w:val="0"/>
      <w:szCs w:val="20"/>
    </w:rPr>
  </w:style>
  <w:style w:type="paragraph" w:customStyle="1" w:styleId="101">
    <w:name w:val="正文首行缩进Arial"/>
    <w:basedOn w:val="40"/>
    <w:next w:val="1"/>
    <w:uiPriority w:val="0"/>
    <w:pPr>
      <w:autoSpaceDE w:val="0"/>
      <w:autoSpaceDN w:val="0"/>
      <w:adjustRightInd w:val="0"/>
      <w:spacing w:line="360" w:lineRule="auto"/>
      <w:ind w:left="414" w:firstLine="306"/>
      <w:jc w:val="left"/>
    </w:pPr>
    <w:rPr>
      <w:rFonts w:ascii="Times New Roman" w:hAnsi="Times New Roman" w:cs="宋体"/>
      <w:kern w:val="0"/>
      <w:szCs w:val="21"/>
    </w:rPr>
  </w:style>
  <w:style w:type="character" w:customStyle="1" w:styleId="102">
    <w:name w:val="正文文本缩进 Char"/>
    <w:basedOn w:val="43"/>
    <w:link w:val="18"/>
    <w:semiHidden/>
    <w:uiPriority w:val="99"/>
    <w:rPr>
      <w:rFonts w:ascii="Calibri" w:hAnsi="Calibri" w:eastAsia="宋体" w:cs="Times New Roman"/>
    </w:rPr>
  </w:style>
  <w:style w:type="character" w:customStyle="1" w:styleId="103">
    <w:name w:val="正文首行缩进 2 Char"/>
    <w:basedOn w:val="102"/>
    <w:link w:val="40"/>
    <w:semiHidden/>
    <w:uiPriority w:val="99"/>
    <w:rPr>
      <w:rFonts w:ascii="Calibri" w:hAnsi="Calibri" w:eastAsia="宋体" w:cs="Times New Roman"/>
    </w:rPr>
  </w:style>
  <w:style w:type="paragraph" w:customStyle="1" w:styleId="104">
    <w:name w:val="Figure Description"/>
    <w:next w:val="1"/>
    <w:link w:val="105"/>
    <w:qFormat/>
    <w:uiPriority w:val="0"/>
    <w:pPr>
      <w:snapToGrid w:val="0"/>
      <w:spacing w:before="80" w:after="320"/>
      <w:jc w:val="center"/>
    </w:pPr>
    <w:rPr>
      <w:rFonts w:ascii="Arial" w:hAnsi="Arial" w:eastAsia="黑体" w:cs="Arial"/>
      <w:kern w:val="0"/>
      <w:sz w:val="18"/>
      <w:szCs w:val="18"/>
      <w:lang w:val="en-US" w:eastAsia="zh-CN" w:bidi="ar-SA"/>
    </w:rPr>
  </w:style>
  <w:style w:type="character" w:customStyle="1" w:styleId="105">
    <w:name w:val="Figure Description Char"/>
    <w:link w:val="104"/>
    <w:uiPriority w:val="0"/>
    <w:rPr>
      <w:rFonts w:ascii="Arial" w:hAnsi="Arial" w:eastAsia="黑体" w:cs="Arial"/>
      <w:kern w:val="0"/>
      <w:sz w:val="18"/>
      <w:szCs w:val="18"/>
    </w:rPr>
  </w:style>
  <w:style w:type="paragraph" w:customStyle="1" w:styleId="106">
    <w:name w:val="表格题注"/>
    <w:next w:val="1"/>
    <w:uiPriority w:val="0"/>
    <w:pPr>
      <w:keepLines/>
      <w:spacing w:beforeLines="100"/>
      <w:ind w:left="1089" w:hanging="369"/>
      <w:jc w:val="center"/>
    </w:pPr>
    <w:rPr>
      <w:rFonts w:ascii="Arial" w:hAnsi="Arial" w:eastAsia="宋体" w:cs="Times New Roman"/>
      <w:kern w:val="0"/>
      <w:sz w:val="18"/>
      <w:szCs w:val="18"/>
      <w:lang w:val="en-US" w:eastAsia="zh-CN" w:bidi="ar-SA"/>
    </w:rPr>
  </w:style>
  <w:style w:type="paragraph" w:customStyle="1" w:styleId="107">
    <w:name w:val="插图题注"/>
    <w:next w:val="1"/>
    <w:uiPriority w:val="0"/>
    <w:pPr>
      <w:numPr>
        <w:ilvl w:val="7"/>
        <w:numId w:val="4"/>
      </w:numPr>
      <w:spacing w:afterLines="100"/>
      <w:ind w:left="1089" w:hanging="369"/>
      <w:jc w:val="center"/>
    </w:pPr>
    <w:rPr>
      <w:rFonts w:ascii="Arial" w:hAnsi="Arial" w:eastAsia="宋体" w:cs="Times New Roman"/>
      <w:kern w:val="0"/>
      <w:sz w:val="18"/>
      <w:szCs w:val="18"/>
      <w:lang w:val="en-US" w:eastAsia="zh-CN" w:bidi="ar-SA"/>
    </w:rPr>
  </w:style>
  <w:style w:type="paragraph" w:customStyle="1" w:styleId="108">
    <w:name w:val="IN Feature"/>
    <w:next w:val="109"/>
    <w:uiPriority w:val="0"/>
    <w:pPr>
      <w:keepNext/>
      <w:keepLines/>
      <w:spacing w:before="240" w:after="240"/>
      <w:ind w:left="170"/>
      <w:outlineLvl w:val="7"/>
    </w:pPr>
    <w:rPr>
      <w:rFonts w:ascii="Arial" w:hAnsi="Arial" w:eastAsia="黑体" w:cs="Arial"/>
      <w:kern w:val="0"/>
      <w:sz w:val="21"/>
      <w:szCs w:val="21"/>
      <w:lang w:val="en-US" w:eastAsia="zh-CN" w:bidi="ar-SA"/>
    </w:rPr>
  </w:style>
  <w:style w:type="paragraph" w:customStyle="1" w:styleId="109">
    <w:name w:val="IN Step"/>
    <w:basedOn w:val="1"/>
    <w:uiPriority w:val="0"/>
    <w:pPr>
      <w:keepLines/>
      <w:widowControl/>
      <w:tabs>
        <w:tab w:val="left" w:pos="1304"/>
      </w:tabs>
      <w:spacing w:before="80" w:after="80" w:line="300" w:lineRule="auto"/>
      <w:ind w:left="1304"/>
      <w:outlineLvl w:val="8"/>
    </w:pPr>
    <w:rPr>
      <w:rFonts w:ascii="Arial" w:hAnsi="Arial" w:cs="Arial"/>
      <w:kern w:val="0"/>
      <w:szCs w:val="21"/>
    </w:rPr>
  </w:style>
  <w:style w:type="paragraph" w:customStyle="1" w:styleId="110">
    <w:name w:val="Table Description"/>
    <w:next w:val="1"/>
    <w:uiPriority w:val="0"/>
    <w:pPr>
      <w:keepNext/>
      <w:snapToGrid w:val="0"/>
      <w:spacing w:before="160" w:after="80"/>
      <w:jc w:val="center"/>
    </w:pPr>
    <w:rPr>
      <w:rFonts w:ascii="Arial" w:hAnsi="Arial" w:eastAsia="黑体" w:cs="Arial"/>
      <w:kern w:val="0"/>
      <w:sz w:val="18"/>
      <w:szCs w:val="18"/>
      <w:lang w:val="en-US" w:eastAsia="zh-CN" w:bidi="ar-SA"/>
    </w:rPr>
  </w:style>
  <w:style w:type="paragraph" w:customStyle="1" w:styleId="111">
    <w:name w:val="Item Step"/>
    <w:uiPriority w:val="0"/>
    <w:pPr>
      <w:tabs>
        <w:tab w:val="left" w:pos="420"/>
      </w:tabs>
      <w:spacing w:line="300" w:lineRule="auto"/>
      <w:ind w:left="851" w:hanging="431"/>
    </w:pPr>
    <w:rPr>
      <w:rFonts w:ascii="Arial" w:hAnsi="Arial" w:eastAsia="宋体" w:cs="Arial"/>
      <w:kern w:val="0"/>
      <w:sz w:val="21"/>
      <w:szCs w:val="21"/>
      <w:lang w:val="en-US" w:eastAsia="zh-CN" w:bidi="ar-SA"/>
    </w:rPr>
  </w:style>
  <w:style w:type="paragraph" w:customStyle="1" w:styleId="112">
    <w:name w:val="[基本段落]"/>
    <w:basedOn w:val="1"/>
    <w:uiPriority w:val="99"/>
    <w:pPr>
      <w:widowControl/>
      <w:autoSpaceDE w:val="0"/>
      <w:autoSpaceDN w:val="0"/>
      <w:adjustRightInd w:val="0"/>
      <w:spacing w:line="288" w:lineRule="auto"/>
      <w:textAlignment w:val="center"/>
    </w:pPr>
    <w:rPr>
      <w:rFonts w:ascii="AdobeSongStd-Light" w:hAnsi="Calibri" w:eastAsia="AdobeSongStd-Light" w:cs="AdobeSongStd-Light"/>
      <w:color w:val="000000"/>
      <w:kern w:val="0"/>
      <w:sz w:val="24"/>
      <w:lang w:val="zh-CN"/>
    </w:rPr>
  </w:style>
  <w:style w:type="character" w:customStyle="1" w:styleId="113">
    <w:name w:val="副标题 Char"/>
    <w:basedOn w:val="43"/>
    <w:link w:val="30"/>
    <w:uiPriority w:val="0"/>
    <w:rPr>
      <w:rFonts w:ascii="Cambria" w:hAnsi="Cambria" w:eastAsia="宋体" w:cs="Times New Roman"/>
      <w:b/>
      <w:bCs/>
      <w:kern w:val="28"/>
      <w:sz w:val="32"/>
      <w:szCs w:val="32"/>
    </w:rPr>
  </w:style>
  <w:style w:type="paragraph" w:customStyle="1" w:styleId="114">
    <w:name w:val="图号"/>
    <w:basedOn w:val="1"/>
    <w:uiPriority w:val="0"/>
    <w:pPr>
      <w:autoSpaceDE w:val="0"/>
      <w:autoSpaceDN w:val="0"/>
      <w:adjustRightInd w:val="0"/>
      <w:spacing w:before="210" w:after="105" w:line="360" w:lineRule="auto"/>
      <w:ind w:left="544" w:hanging="544"/>
      <w:jc w:val="center"/>
    </w:pPr>
    <w:rPr>
      <w:rFonts w:ascii="宋体"/>
      <w:kern w:val="0"/>
      <w:szCs w:val="20"/>
    </w:rPr>
  </w:style>
  <w:style w:type="paragraph" w:customStyle="1" w:styleId="115">
    <w:name w:val="0"/>
    <w:basedOn w:val="1"/>
    <w:qFormat/>
    <w:uiPriority w:val="0"/>
    <w:pPr>
      <w:widowControl/>
      <w:snapToGrid w:val="0"/>
      <w:spacing w:line="360" w:lineRule="auto"/>
      <w:ind w:firstLine="200" w:firstLineChars="200"/>
    </w:pPr>
    <w:rPr>
      <w:kern w:val="0"/>
      <w:sz w:val="24"/>
      <w:szCs w:val="21"/>
    </w:rPr>
  </w:style>
  <w:style w:type="paragraph" w:customStyle="1" w:styleId="116">
    <w:name w:val="a0"/>
    <w:basedOn w:val="1"/>
    <w:uiPriority w:val="0"/>
    <w:pPr>
      <w:widowControl/>
      <w:spacing w:after="150"/>
      <w:jc w:val="left"/>
    </w:pPr>
    <w:rPr>
      <w:rFonts w:ascii="宋体" w:hAnsi="宋体" w:cs="宋体"/>
      <w:kern w:val="0"/>
      <w:sz w:val="24"/>
    </w:rPr>
  </w:style>
  <w:style w:type="character" w:customStyle="1" w:styleId="117">
    <w:name w:val="标准正文格式 Char"/>
    <w:link w:val="118"/>
    <w:uiPriority w:val="0"/>
    <w:rPr>
      <w:rFonts w:ascii="宋体" w:hAnsi="Times New Roman" w:eastAsia="仿宋"/>
      <w:color w:val="000000"/>
      <w:sz w:val="24"/>
    </w:rPr>
  </w:style>
  <w:style w:type="paragraph" w:customStyle="1" w:styleId="118">
    <w:name w:val="标准正文格式"/>
    <w:basedOn w:val="1"/>
    <w:link w:val="117"/>
    <w:qFormat/>
    <w:uiPriority w:val="0"/>
    <w:pPr>
      <w:widowControl/>
      <w:adjustRightInd w:val="0"/>
      <w:spacing w:before="60" w:after="120" w:line="360" w:lineRule="auto"/>
      <w:ind w:firstLine="200" w:firstLineChars="200"/>
      <w:textAlignment w:val="baseline"/>
    </w:pPr>
    <w:rPr>
      <w:rFonts w:ascii="宋体" w:eastAsia="仿宋" w:cstheme="minorBidi"/>
      <w:color w:val="000000"/>
      <w:sz w:val="24"/>
      <w:szCs w:val="22"/>
    </w:rPr>
  </w:style>
  <w:style w:type="character" w:customStyle="1" w:styleId="119">
    <w:name w:val="正文文本缩进 2 Char"/>
    <w:basedOn w:val="43"/>
    <w:link w:val="22"/>
    <w:semiHidden/>
    <w:uiPriority w:val="99"/>
    <w:rPr>
      <w:rFonts w:ascii="Times New Roman" w:hAnsi="Times New Roman" w:eastAsia="宋体" w:cs="Times New Roman"/>
      <w:szCs w:val="24"/>
    </w:rPr>
  </w:style>
  <w:style w:type="character" w:customStyle="1" w:styleId="120">
    <w:name w:val="文档正文 Char"/>
    <w:basedOn w:val="43"/>
    <w:link w:val="121"/>
    <w:locked/>
    <w:uiPriority w:val="0"/>
    <w:rPr>
      <w:rFonts w:ascii="Arial" w:hAnsi="Arial" w:eastAsia="宋体" w:cs="Arial"/>
      <w:kern w:val="0"/>
      <w:sz w:val="24"/>
      <w:szCs w:val="20"/>
    </w:rPr>
  </w:style>
  <w:style w:type="paragraph" w:customStyle="1" w:styleId="121">
    <w:name w:val="文档正文"/>
    <w:basedOn w:val="1"/>
    <w:link w:val="120"/>
    <w:uiPriority w:val="0"/>
    <w:pPr>
      <w:adjustRightInd w:val="0"/>
      <w:spacing w:line="500" w:lineRule="exact"/>
      <w:ind w:firstLine="567"/>
    </w:pPr>
    <w:rPr>
      <w:rFonts w:ascii="Arial" w:hAnsi="Arial" w:cs="Arial"/>
      <w:kern w:val="0"/>
      <w:sz w:val="24"/>
      <w:szCs w:val="20"/>
    </w:rPr>
  </w:style>
  <w:style w:type="paragraph" w:customStyle="1" w:styleId="122">
    <w:name w:val="Item Step in Table"/>
    <w:qFormat/>
    <w:uiPriority w:val="0"/>
    <w:pPr>
      <w:numPr>
        <w:ilvl w:val="0"/>
        <w:numId w:val="5"/>
      </w:numPr>
      <w:spacing w:before="40" w:after="40"/>
      <w:jc w:val="both"/>
    </w:pPr>
    <w:rPr>
      <w:rFonts w:ascii="Arial" w:hAnsi="Arial" w:eastAsia="宋体" w:cs="Arial"/>
      <w:kern w:val="0"/>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021BC8-8B0D-49B8-8166-F787C9A7DE68}">
  <ds:schemaRefs/>
</ds:datastoreItem>
</file>

<file path=docProps/app.xml><?xml version="1.0" encoding="utf-8"?>
<Properties xmlns="http://schemas.openxmlformats.org/officeDocument/2006/extended-properties" xmlns:vt="http://schemas.openxmlformats.org/officeDocument/2006/docPropsVTypes">
  <Template>Normal</Template>
  <Pages>11</Pages>
  <Words>784</Words>
  <Characters>4469</Characters>
  <Lines>37</Lines>
  <Paragraphs>10</Paragraphs>
  <TotalTime>2</TotalTime>
  <ScaleCrop>false</ScaleCrop>
  <LinksUpToDate>false</LinksUpToDate>
  <CharactersWithSpaces>5243</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2020-12-14T09:28:00Z</dcterms:created>
  <dc:creator>Kevin</dc:creator>
  <cp:lastModifiedBy>王倩</cp:lastModifiedBy>
  <dcterms:modified xsi:type="dcterms:W3CDTF">2021-01-07T02:45:56Z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