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708" w:firstLineChars="196"/>
        <w:jc w:val="center"/>
        <w:rPr>
          <w:rFonts w:hint="eastAsia" w:ascii="宋体" w:hAnsi="宋体" w:cs="宋体"/>
          <w:b/>
          <w:sz w:val="36"/>
          <w:szCs w:val="36"/>
        </w:rPr>
      </w:pPr>
      <w:bookmarkStart w:id="0" w:name="_GoBack"/>
      <w:bookmarkEnd w:id="0"/>
      <w:r>
        <w:rPr>
          <w:rFonts w:hint="eastAsia" w:ascii="宋体" w:hAnsi="宋体" w:cs="宋体"/>
          <w:b/>
          <w:sz w:val="36"/>
          <w:szCs w:val="36"/>
        </w:rPr>
        <w:t>设备科医学装备档案密集架项目需求书</w:t>
      </w:r>
    </w:p>
    <w:p>
      <w:pPr>
        <w:pStyle w:val="2"/>
        <w:rPr>
          <w:rFonts w:hint="eastAsia"/>
        </w:rPr>
      </w:pPr>
    </w:p>
    <w:p>
      <w:pPr>
        <w:pStyle w:val="2"/>
        <w:rPr>
          <w:rFonts w:hint="eastAsia"/>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5"/>
        <w:gridCol w:w="2026"/>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235" w:type="dxa"/>
          </w:tcPr>
          <w:p>
            <w:pPr>
              <w:pStyle w:val="2"/>
              <w:jc w:val="center"/>
              <w:rPr>
                <w:rFonts w:hint="eastAsia"/>
                <w:b/>
                <w:sz w:val="24"/>
              </w:rPr>
            </w:pPr>
          </w:p>
          <w:p>
            <w:pPr>
              <w:pStyle w:val="2"/>
              <w:jc w:val="center"/>
              <w:rPr>
                <w:rFonts w:hint="eastAsia"/>
                <w:b/>
                <w:sz w:val="24"/>
              </w:rPr>
            </w:pPr>
            <w:r>
              <w:rPr>
                <w:rFonts w:hint="eastAsia"/>
                <w:b/>
                <w:sz w:val="24"/>
              </w:rPr>
              <w:t>需求内容</w:t>
            </w:r>
          </w:p>
        </w:tc>
        <w:tc>
          <w:tcPr>
            <w:tcW w:w="6287" w:type="dxa"/>
            <w:gridSpan w:val="3"/>
          </w:tcPr>
          <w:p>
            <w:pPr>
              <w:pStyle w:val="2"/>
              <w:numPr>
                <w:ilvl w:val="0"/>
                <w:numId w:val="1"/>
              </w:numPr>
              <w:jc w:val="left"/>
              <w:rPr>
                <w:rFonts w:hint="eastAsia"/>
                <w:b/>
                <w:sz w:val="24"/>
              </w:rPr>
            </w:pPr>
            <w:r>
              <w:rPr>
                <w:rFonts w:hint="eastAsia"/>
                <w:b/>
                <w:sz w:val="24"/>
              </w:rPr>
              <w:t>密集架平面图</w:t>
            </w:r>
          </w:p>
          <w:p>
            <w:pPr>
              <w:pStyle w:val="2"/>
              <w:numPr>
                <w:ilvl w:val="0"/>
                <w:numId w:val="1"/>
              </w:numPr>
              <w:jc w:val="left"/>
              <w:rPr>
                <w:rFonts w:hint="eastAsia"/>
                <w:b/>
                <w:sz w:val="24"/>
              </w:rPr>
            </w:pPr>
            <w:r>
              <w:rPr>
                <w:rFonts w:hint="eastAsia"/>
                <w:b/>
                <w:sz w:val="24"/>
              </w:rPr>
              <w:t>密集架效果图</w:t>
            </w:r>
          </w:p>
          <w:p>
            <w:pPr>
              <w:pStyle w:val="2"/>
              <w:numPr>
                <w:ilvl w:val="0"/>
                <w:numId w:val="1"/>
              </w:numPr>
              <w:jc w:val="left"/>
              <w:rPr>
                <w:rFonts w:hint="eastAsia"/>
                <w:b/>
                <w:sz w:val="24"/>
              </w:rPr>
            </w:pPr>
            <w:r>
              <w:rPr>
                <w:rFonts w:hint="eastAsia"/>
                <w:b/>
                <w:sz w:val="24"/>
              </w:rPr>
              <w:t>货品清单</w:t>
            </w:r>
          </w:p>
          <w:p>
            <w:pPr>
              <w:pStyle w:val="2"/>
              <w:numPr>
                <w:ilvl w:val="0"/>
                <w:numId w:val="1"/>
              </w:numPr>
              <w:jc w:val="left"/>
              <w:rPr>
                <w:rFonts w:hint="eastAsia"/>
                <w:b/>
                <w:sz w:val="24"/>
              </w:rPr>
            </w:pPr>
            <w:r>
              <w:rPr>
                <w:rFonts w:hint="eastAsia"/>
                <w:b/>
                <w:sz w:val="24"/>
              </w:rPr>
              <w:t>封闭式密集架技术参数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235" w:type="dxa"/>
          </w:tcPr>
          <w:p>
            <w:pPr>
              <w:pStyle w:val="2"/>
              <w:jc w:val="center"/>
              <w:rPr>
                <w:b/>
                <w:sz w:val="24"/>
              </w:rPr>
            </w:pPr>
            <w:r>
              <w:rPr>
                <w:rFonts w:hint="eastAsia"/>
                <w:b/>
                <w:sz w:val="24"/>
              </w:rPr>
              <w:t>需求确认科室</w:t>
            </w:r>
          </w:p>
        </w:tc>
        <w:tc>
          <w:tcPr>
            <w:tcW w:w="2026" w:type="dxa"/>
          </w:tcPr>
          <w:p>
            <w:pPr>
              <w:pStyle w:val="2"/>
              <w:jc w:val="center"/>
              <w:rPr>
                <w:rFonts w:hint="eastAsia"/>
                <w:b/>
                <w:sz w:val="24"/>
              </w:rPr>
            </w:pPr>
            <w:r>
              <w:rPr>
                <w:rFonts w:hint="eastAsia"/>
                <w:b/>
                <w:sz w:val="24"/>
              </w:rPr>
              <w:t>设备科</w:t>
            </w:r>
          </w:p>
        </w:tc>
        <w:tc>
          <w:tcPr>
            <w:tcW w:w="2130" w:type="dxa"/>
          </w:tcPr>
          <w:p>
            <w:pPr>
              <w:pStyle w:val="2"/>
              <w:jc w:val="center"/>
              <w:rPr>
                <w:rFonts w:hint="eastAsia"/>
                <w:b/>
                <w:sz w:val="24"/>
              </w:rPr>
            </w:pPr>
            <w:r>
              <w:rPr>
                <w:rFonts w:hint="eastAsia"/>
                <w:b/>
                <w:sz w:val="24"/>
              </w:rPr>
              <w:t>日期</w:t>
            </w:r>
          </w:p>
        </w:tc>
        <w:tc>
          <w:tcPr>
            <w:tcW w:w="2131" w:type="dxa"/>
          </w:tcPr>
          <w:p>
            <w:pPr>
              <w:pStyle w:val="2"/>
              <w:jc w:val="center"/>
              <w:rPr>
                <w:rFonts w:hint="eastAsia"/>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235" w:type="dxa"/>
          </w:tcPr>
          <w:p>
            <w:pPr>
              <w:pStyle w:val="2"/>
              <w:jc w:val="center"/>
              <w:rPr>
                <w:rFonts w:hint="eastAsia"/>
                <w:b/>
                <w:sz w:val="24"/>
              </w:rPr>
            </w:pPr>
            <w:r>
              <w:rPr>
                <w:rFonts w:hint="eastAsia"/>
                <w:b/>
                <w:sz w:val="24"/>
              </w:rPr>
              <w:t>需求确认人员</w:t>
            </w:r>
          </w:p>
        </w:tc>
        <w:tc>
          <w:tcPr>
            <w:tcW w:w="6287" w:type="dxa"/>
            <w:gridSpan w:val="3"/>
          </w:tcPr>
          <w:p>
            <w:pPr>
              <w:pStyle w:val="2"/>
              <w:jc w:val="center"/>
              <w:rPr>
                <w:rFonts w:hint="eastAsia"/>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2235" w:type="dxa"/>
          </w:tcPr>
          <w:p>
            <w:pPr>
              <w:pStyle w:val="2"/>
              <w:jc w:val="center"/>
              <w:rPr>
                <w:rFonts w:hint="eastAsia"/>
                <w:b/>
                <w:sz w:val="24"/>
              </w:rPr>
            </w:pPr>
            <w:r>
              <w:rPr>
                <w:rFonts w:hint="eastAsia"/>
                <w:b/>
                <w:sz w:val="24"/>
              </w:rPr>
              <w:t>需求确认主管领导</w:t>
            </w:r>
          </w:p>
        </w:tc>
        <w:tc>
          <w:tcPr>
            <w:tcW w:w="6287" w:type="dxa"/>
            <w:gridSpan w:val="3"/>
          </w:tcPr>
          <w:p>
            <w:pPr>
              <w:pStyle w:val="2"/>
              <w:jc w:val="center"/>
              <w:rPr>
                <w:rFonts w:hint="eastAsia"/>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2235" w:type="dxa"/>
          </w:tcPr>
          <w:p>
            <w:pPr>
              <w:pStyle w:val="2"/>
              <w:jc w:val="center"/>
              <w:rPr>
                <w:rFonts w:hint="eastAsia"/>
                <w:b/>
                <w:sz w:val="24"/>
              </w:rPr>
            </w:pPr>
            <w:r>
              <w:rPr>
                <w:rFonts w:hint="eastAsia"/>
                <w:b/>
                <w:sz w:val="24"/>
              </w:rPr>
              <w:t>领导意见</w:t>
            </w:r>
          </w:p>
        </w:tc>
        <w:tc>
          <w:tcPr>
            <w:tcW w:w="6287" w:type="dxa"/>
            <w:gridSpan w:val="3"/>
          </w:tcPr>
          <w:p>
            <w:pPr>
              <w:pStyle w:val="2"/>
              <w:jc w:val="center"/>
              <w:rPr>
                <w:rFonts w:hint="eastAsia"/>
                <w:b/>
                <w:sz w:val="24"/>
              </w:rPr>
            </w:pPr>
          </w:p>
        </w:tc>
      </w:tr>
    </w:tbl>
    <w:p>
      <w:pPr>
        <w:pStyle w:val="2"/>
      </w:pPr>
    </w:p>
    <w:p>
      <w:pPr>
        <w:pStyle w:val="2"/>
        <w:rPr>
          <w:rFonts w:hAnsi="宋体" w:cs="宋体"/>
          <w:b/>
          <w:sz w:val="44"/>
          <w:szCs w:val="44"/>
        </w:rPr>
      </w:pPr>
      <w:r>
        <w:rPr>
          <w:rFonts w:hint="eastAsia" w:hAnsi="宋体" w:cs="宋体"/>
          <w:b/>
          <w:sz w:val="44"/>
          <w:szCs w:val="44"/>
        </w:rPr>
        <w:drawing>
          <wp:anchor distT="0" distB="0" distL="114300" distR="114300" simplePos="0" relativeHeight="251659264" behindDoc="0" locked="0" layoutInCell="1" allowOverlap="1">
            <wp:simplePos x="0" y="0"/>
            <wp:positionH relativeFrom="column">
              <wp:posOffset>-762000</wp:posOffset>
            </wp:positionH>
            <wp:positionV relativeFrom="paragraph">
              <wp:posOffset>363855</wp:posOffset>
            </wp:positionV>
            <wp:extent cx="6847840" cy="4838700"/>
            <wp:effectExtent l="19050" t="0" r="0" b="0"/>
            <wp:wrapNone/>
            <wp:docPr id="4" name="图片 1"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1.jpg"/>
                    <pic:cNvPicPr>
                      <a:picLocks noChangeAspect="1"/>
                    </pic:cNvPicPr>
                  </pic:nvPicPr>
                  <pic:blipFill>
                    <a:blip r:embed="rId5" cstate="print"/>
                    <a:stretch>
                      <a:fillRect/>
                    </a:stretch>
                  </pic:blipFill>
                  <pic:spPr>
                    <a:xfrm>
                      <a:off x="0" y="0"/>
                      <a:ext cx="6847751" cy="4838700"/>
                    </a:xfrm>
                    <a:prstGeom prst="rect">
                      <a:avLst/>
                    </a:prstGeom>
                  </pic:spPr>
                </pic:pic>
              </a:graphicData>
            </a:graphic>
          </wp:anchor>
        </w:drawing>
      </w:r>
      <w:r>
        <w:rPr>
          <w:rFonts w:hint="eastAsia" w:hAnsi="宋体" w:cs="宋体"/>
          <w:b/>
          <w:sz w:val="44"/>
          <w:szCs w:val="44"/>
        </w:rPr>
        <w:t>一、密集架平面图</w:t>
      </w:r>
    </w:p>
    <w:p>
      <w:pPr>
        <w:pStyle w:val="2"/>
        <w:rPr>
          <w:rFonts w:hAnsi="宋体" w:cs="宋体"/>
          <w:b/>
          <w:sz w:val="24"/>
        </w:rPr>
      </w:pPr>
    </w:p>
    <w:p>
      <w:pPr>
        <w:pStyle w:val="2"/>
        <w:ind w:left="-618" w:leftChars="-400" w:right="-512" w:rightChars="-244" w:hanging="222" w:hangingChars="9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48"/>
          <w:szCs w:val="48"/>
        </w:rPr>
      </w:pPr>
    </w:p>
    <w:p>
      <w:pPr>
        <w:pStyle w:val="2"/>
        <w:rPr>
          <w:rFonts w:hint="eastAsia" w:hAnsi="宋体" w:cs="宋体"/>
          <w:b/>
          <w:sz w:val="48"/>
          <w:szCs w:val="48"/>
        </w:rPr>
      </w:pPr>
    </w:p>
    <w:p>
      <w:pPr>
        <w:pStyle w:val="2"/>
        <w:rPr>
          <w:rFonts w:hint="eastAsia" w:hAnsi="宋体" w:cs="宋体"/>
          <w:b/>
          <w:sz w:val="48"/>
          <w:szCs w:val="48"/>
        </w:rPr>
      </w:pPr>
    </w:p>
    <w:p>
      <w:pPr>
        <w:pStyle w:val="2"/>
        <w:rPr>
          <w:rFonts w:hAnsi="宋体" w:cs="宋体"/>
          <w:b/>
          <w:sz w:val="48"/>
          <w:szCs w:val="48"/>
        </w:rPr>
      </w:pPr>
      <w:r>
        <w:rPr>
          <w:rFonts w:hint="eastAsia" w:hAnsi="宋体" w:cs="宋体"/>
          <w:b/>
          <w:sz w:val="48"/>
          <w:szCs w:val="48"/>
        </w:rPr>
        <w:t>二、密集架效果图</w:t>
      </w:r>
    </w:p>
    <w:p>
      <w:pPr>
        <w:pStyle w:val="2"/>
        <w:rPr>
          <w:rFonts w:hAnsi="宋体" w:cs="宋体"/>
          <w:b/>
          <w:sz w:val="24"/>
        </w:rPr>
      </w:pPr>
    </w:p>
    <w:p>
      <w:pPr>
        <w:pStyle w:val="2"/>
        <w:rPr>
          <w:rFonts w:hAnsi="宋体" w:cs="宋体"/>
          <w:b/>
          <w:sz w:val="24"/>
        </w:rPr>
      </w:pPr>
      <w:r>
        <w:rPr>
          <w:rFonts w:hAnsi="宋体" w:cs="宋体"/>
          <w:b/>
          <w:sz w:val="24"/>
        </w:rPr>
        <w:drawing>
          <wp:anchor distT="0" distB="0" distL="114300" distR="114300" simplePos="0" relativeHeight="251661312" behindDoc="0" locked="0" layoutInCell="1" allowOverlap="1">
            <wp:simplePos x="0" y="0"/>
            <wp:positionH relativeFrom="column">
              <wp:posOffset>-600075</wp:posOffset>
            </wp:positionH>
            <wp:positionV relativeFrom="paragraph">
              <wp:posOffset>120015</wp:posOffset>
            </wp:positionV>
            <wp:extent cx="6537325" cy="4619625"/>
            <wp:effectExtent l="19050" t="0" r="0" b="0"/>
            <wp:wrapNone/>
            <wp:docPr id="5" name="图片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2.jpg"/>
                    <pic:cNvPicPr>
                      <a:picLocks noChangeAspect="1"/>
                    </pic:cNvPicPr>
                  </pic:nvPicPr>
                  <pic:blipFill>
                    <a:blip r:embed="rId6" cstate="print"/>
                    <a:stretch>
                      <a:fillRect/>
                    </a:stretch>
                  </pic:blipFill>
                  <pic:spPr>
                    <a:xfrm>
                      <a:off x="0" y="0"/>
                      <a:ext cx="6541737" cy="4622537"/>
                    </a:xfrm>
                    <a:prstGeom prst="rect">
                      <a:avLst/>
                    </a:prstGeom>
                  </pic:spPr>
                </pic:pic>
              </a:graphicData>
            </a:graphic>
          </wp:anchor>
        </w:drawing>
      </w: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rPr>
          <w:b/>
          <w:sz w:val="36"/>
          <w:szCs w:val="36"/>
        </w:rPr>
      </w:pPr>
      <w:r>
        <w:rPr>
          <w:rFonts w:hint="eastAsia"/>
          <w:b/>
          <w:sz w:val="36"/>
          <w:szCs w:val="36"/>
        </w:rPr>
        <w:t>三、货品清单</w:t>
      </w:r>
    </w:p>
    <w:tbl>
      <w:tblPr>
        <w:tblStyle w:val="7"/>
        <w:tblW w:w="9800" w:type="dxa"/>
        <w:jc w:val="center"/>
        <w:tblLayout w:type="autofit"/>
        <w:tblCellMar>
          <w:top w:w="0" w:type="dxa"/>
          <w:left w:w="108" w:type="dxa"/>
          <w:bottom w:w="0" w:type="dxa"/>
          <w:right w:w="108" w:type="dxa"/>
        </w:tblCellMar>
      </w:tblPr>
      <w:tblGrid>
        <w:gridCol w:w="687"/>
        <w:gridCol w:w="3476"/>
        <w:gridCol w:w="2132"/>
        <w:gridCol w:w="1811"/>
        <w:gridCol w:w="686"/>
        <w:gridCol w:w="1008"/>
      </w:tblGrid>
      <w:tr>
        <w:tblPrEx>
          <w:tblCellMar>
            <w:top w:w="0" w:type="dxa"/>
            <w:left w:w="108" w:type="dxa"/>
            <w:bottom w:w="0" w:type="dxa"/>
            <w:right w:w="108" w:type="dxa"/>
          </w:tblCellMar>
        </w:tblPrEx>
        <w:trPr>
          <w:trHeight w:val="450" w:hRule="atLeast"/>
          <w:jc w:val="center"/>
        </w:trPr>
        <w:tc>
          <w:tcPr>
            <w:tcW w:w="9800" w:type="dxa"/>
            <w:gridSpan w:val="6"/>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货品规格及数量</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项目</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规格</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单位（列/米）</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数量(㎡/m）</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单价</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小计</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全封闭式密集架，规格2700x4500,5组一列共9列</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列</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109.35</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1380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150903</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2</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不锈钢路轨，规格25x25，合计21米</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米</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21</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300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6300</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4</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书车750*360*900，两层</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台</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5</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书梯450*650*1300三层踏步</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台</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r>
      <w:tr>
        <w:tblPrEx>
          <w:tblCellMar>
            <w:top w:w="0" w:type="dxa"/>
            <w:left w:w="108" w:type="dxa"/>
            <w:bottom w:w="0" w:type="dxa"/>
            <w:right w:w="108" w:type="dxa"/>
          </w:tblCellMar>
        </w:tblPrEx>
        <w:trPr>
          <w:trHeight w:val="600" w:hRule="atLeast"/>
          <w:jc w:val="center"/>
        </w:trPr>
        <w:tc>
          <w:tcPr>
            <w:tcW w:w="8792" w:type="dxa"/>
            <w:gridSpan w:val="5"/>
            <w:tcBorders>
              <w:top w:val="single" w:color="auto" w:sz="4" w:space="0"/>
              <w:left w:val="single" w:color="auto" w:sz="4" w:space="0"/>
              <w:bottom w:val="single" w:color="auto" w:sz="4" w:space="0"/>
              <w:right w:val="single" w:color="000000"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大写合计：壹拾伍萬捌仟伍佰陆拾叁元整                    小写合计:¥158563.00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158563</w:t>
            </w:r>
          </w:p>
        </w:tc>
      </w:tr>
    </w:tbl>
    <w:p>
      <w:pPr>
        <w:pStyle w:val="2"/>
        <w:rPr>
          <w:b/>
          <w:sz w:val="36"/>
          <w:szCs w:val="36"/>
        </w:rPr>
      </w:pPr>
    </w:p>
    <w:p>
      <w:pPr>
        <w:pStyle w:val="2"/>
        <w:rPr>
          <w:b/>
          <w:sz w:val="36"/>
          <w:szCs w:val="36"/>
        </w:rPr>
      </w:pPr>
      <w:r>
        <w:rPr>
          <w:rFonts w:hint="eastAsia"/>
          <w:b/>
          <w:sz w:val="36"/>
          <w:szCs w:val="36"/>
        </w:rPr>
        <w:t>四、封闭式密集架技术参数</w:t>
      </w:r>
    </w:p>
    <w:p>
      <w:pPr>
        <w:spacing w:line="360" w:lineRule="auto"/>
        <w:rPr>
          <w:rFonts w:ascii="宋体" w:hAnsi="宋体" w:cs="宋体"/>
          <w:b/>
          <w:sz w:val="24"/>
        </w:rPr>
      </w:pPr>
      <w:r>
        <w:rPr>
          <w:rFonts w:hint="eastAsia" w:ascii="宋体" w:hAnsi="宋体" w:cs="宋体"/>
          <w:b/>
          <w:sz w:val="30"/>
          <w:szCs w:val="30"/>
        </w:rPr>
        <w:t>1</w:t>
      </w:r>
      <w:r>
        <w:rPr>
          <w:rFonts w:hint="eastAsia" w:ascii="宋体" w:hAnsi="宋体" w:cs="宋体"/>
          <w:b/>
          <w:sz w:val="24"/>
        </w:rPr>
        <w:t>.生产过程中材料、工艺均采用国家标准执行。符合相关技术规范：</w:t>
      </w:r>
    </w:p>
    <w:p>
      <w:pPr>
        <w:spacing w:line="360" w:lineRule="auto"/>
        <w:outlineLvl w:val="0"/>
        <w:rPr>
          <w:rFonts w:ascii="Arial" w:hAnsi="Arial" w:cs="Arial"/>
          <w:sz w:val="28"/>
          <w:szCs w:val="28"/>
        </w:rPr>
      </w:pPr>
      <w:r>
        <w:rPr>
          <w:rFonts w:hint="eastAsia" w:ascii="Arial" w:hAnsi="宋体" w:cs="Arial"/>
          <w:sz w:val="28"/>
          <w:szCs w:val="28"/>
        </w:rPr>
        <w:t>（</w:t>
      </w:r>
      <w:r>
        <w:rPr>
          <w:rFonts w:ascii="Arial" w:hAnsi="Arial" w:cs="Arial"/>
          <w:sz w:val="28"/>
          <w:szCs w:val="28"/>
        </w:rPr>
        <w:t>1</w:t>
      </w:r>
      <w:r>
        <w:rPr>
          <w:rFonts w:hint="eastAsia" w:ascii="Arial" w:hAnsi="宋体" w:cs="Arial"/>
          <w:sz w:val="28"/>
          <w:szCs w:val="28"/>
        </w:rPr>
        <w:t>）</w:t>
      </w:r>
      <w:r>
        <w:rPr>
          <w:rFonts w:ascii="Arial" w:hAnsi="Arial" w:cs="Arial"/>
          <w:sz w:val="28"/>
          <w:szCs w:val="28"/>
        </w:rPr>
        <w:t xml:space="preserve"> GB/T</w:t>
      </w:r>
      <w:r>
        <w:rPr>
          <w:rFonts w:hint="eastAsia" w:ascii="Arial" w:hAnsi="Arial" w:cs="Arial"/>
          <w:sz w:val="28"/>
          <w:szCs w:val="28"/>
        </w:rPr>
        <w:t>4767-2014</w:t>
      </w:r>
      <w:r>
        <w:rPr>
          <w:rFonts w:hint="eastAsia" w:ascii="Arial" w:hAnsi="宋体" w:cs="Arial"/>
          <w:sz w:val="28"/>
          <w:szCs w:val="28"/>
        </w:rPr>
        <w:t>《家具用钢构件》</w:t>
      </w:r>
    </w:p>
    <w:p>
      <w:pPr>
        <w:spacing w:line="360" w:lineRule="auto"/>
        <w:ind w:left="840" w:hanging="840" w:hangingChars="300"/>
        <w:rPr>
          <w:rFonts w:ascii="Arial" w:hAnsi="Arial" w:cs="Arial"/>
          <w:sz w:val="28"/>
          <w:szCs w:val="28"/>
        </w:rPr>
      </w:pPr>
      <w:r>
        <w:rPr>
          <w:rFonts w:hint="eastAsia" w:ascii="Arial" w:hAnsi="宋体" w:cs="Arial"/>
          <w:sz w:val="28"/>
          <w:szCs w:val="28"/>
        </w:rPr>
        <w:t>（</w:t>
      </w:r>
      <w:r>
        <w:rPr>
          <w:rFonts w:ascii="Arial" w:hAnsi="Arial" w:cs="Arial"/>
          <w:sz w:val="28"/>
          <w:szCs w:val="28"/>
        </w:rPr>
        <w:t>2</w:t>
      </w:r>
      <w:r>
        <w:rPr>
          <w:rFonts w:hint="eastAsia" w:ascii="Arial" w:hAnsi="宋体" w:cs="Arial"/>
          <w:sz w:val="28"/>
          <w:szCs w:val="28"/>
        </w:rPr>
        <w:t>）</w:t>
      </w:r>
      <w:r>
        <w:rPr>
          <w:rFonts w:ascii="Arial" w:hAnsi="Arial" w:cs="Arial"/>
          <w:sz w:val="28"/>
          <w:szCs w:val="28"/>
        </w:rPr>
        <w:t>GB/T</w:t>
      </w:r>
      <w:r>
        <w:rPr>
          <w:rFonts w:hint="eastAsia" w:ascii="Arial" w:hAnsi="Arial" w:cs="Arial"/>
          <w:sz w:val="28"/>
          <w:szCs w:val="28"/>
        </w:rPr>
        <w:t>4336-2016</w:t>
      </w:r>
      <w:r>
        <w:rPr>
          <w:rFonts w:hint="eastAsia" w:ascii="Arial" w:hAnsi="宋体" w:cs="Arial"/>
          <w:sz w:val="28"/>
          <w:szCs w:val="28"/>
        </w:rPr>
        <w:t>《碳素钢和中低合金钢火花源原子发射光谱分析法》</w:t>
      </w:r>
    </w:p>
    <w:p>
      <w:pPr>
        <w:spacing w:line="360" w:lineRule="auto"/>
        <w:outlineLvl w:val="0"/>
        <w:rPr>
          <w:rFonts w:ascii="Arial" w:hAnsi="Arial" w:cs="Arial"/>
          <w:sz w:val="28"/>
          <w:szCs w:val="28"/>
        </w:rPr>
      </w:pPr>
      <w:r>
        <w:rPr>
          <w:rFonts w:hint="eastAsia" w:ascii="Arial" w:hAnsi="宋体" w:cs="Arial"/>
          <w:sz w:val="28"/>
          <w:szCs w:val="28"/>
        </w:rPr>
        <w:t>（</w:t>
      </w:r>
      <w:r>
        <w:rPr>
          <w:rFonts w:ascii="Arial" w:hAnsi="宋体" w:cs="Arial"/>
          <w:sz w:val="28"/>
          <w:szCs w:val="28"/>
        </w:rPr>
        <w:t>3</w:t>
      </w:r>
      <w:r>
        <w:rPr>
          <w:rFonts w:hint="eastAsia" w:ascii="Arial" w:hAnsi="宋体" w:cs="Arial"/>
          <w:sz w:val="28"/>
          <w:szCs w:val="28"/>
        </w:rPr>
        <w:t>）</w:t>
      </w:r>
      <w:r>
        <w:rPr>
          <w:rFonts w:ascii="Arial" w:hAnsi="Arial" w:cs="Arial"/>
          <w:sz w:val="28"/>
          <w:szCs w:val="28"/>
        </w:rPr>
        <w:t xml:space="preserve"> GB/T13667.3-2013 </w:t>
      </w:r>
      <w:r>
        <w:rPr>
          <w:rFonts w:hint="eastAsia" w:ascii="Arial" w:hAnsi="宋体" w:cs="Arial"/>
          <w:sz w:val="28"/>
          <w:szCs w:val="28"/>
        </w:rPr>
        <w:t>《手动密集架技术条件》</w:t>
      </w:r>
    </w:p>
    <w:p>
      <w:pPr>
        <w:spacing w:line="360" w:lineRule="auto"/>
        <w:rPr>
          <w:rFonts w:ascii="Arial" w:hAnsi="Arial" w:cs="Arial"/>
          <w:sz w:val="28"/>
          <w:szCs w:val="28"/>
        </w:rPr>
      </w:pPr>
      <w:r>
        <w:rPr>
          <w:rFonts w:hint="eastAsia" w:ascii="Arial" w:hAnsi="宋体" w:cs="Arial"/>
          <w:sz w:val="28"/>
          <w:szCs w:val="28"/>
        </w:rPr>
        <w:t>（</w:t>
      </w:r>
      <w:r>
        <w:rPr>
          <w:rFonts w:ascii="Arial" w:hAnsi="宋体" w:cs="Arial"/>
          <w:sz w:val="28"/>
          <w:szCs w:val="28"/>
        </w:rPr>
        <w:t>4</w:t>
      </w:r>
      <w:r>
        <w:rPr>
          <w:rFonts w:hint="eastAsia" w:ascii="Arial" w:hAnsi="宋体" w:cs="Arial"/>
          <w:sz w:val="28"/>
          <w:szCs w:val="28"/>
        </w:rPr>
        <w:t>）GB/T231.1-2009《金属布氏硬度试验、第一部分》</w:t>
      </w:r>
    </w:p>
    <w:p>
      <w:pPr>
        <w:spacing w:line="360" w:lineRule="auto"/>
        <w:outlineLvl w:val="0"/>
        <w:rPr>
          <w:rFonts w:ascii="Arial" w:hAnsi="宋体" w:cs="Arial"/>
          <w:sz w:val="28"/>
          <w:szCs w:val="28"/>
        </w:rPr>
      </w:pPr>
      <w:r>
        <w:rPr>
          <w:rFonts w:hint="eastAsia" w:ascii="Arial" w:hAnsi="宋体" w:cs="Arial"/>
          <w:sz w:val="28"/>
          <w:szCs w:val="28"/>
        </w:rPr>
        <w:t>（</w:t>
      </w:r>
      <w:r>
        <w:rPr>
          <w:rFonts w:ascii="Arial" w:hAnsi="宋体" w:cs="Arial"/>
          <w:sz w:val="28"/>
          <w:szCs w:val="28"/>
        </w:rPr>
        <w:t>5</w:t>
      </w:r>
      <w:r>
        <w:rPr>
          <w:rFonts w:hint="eastAsia" w:ascii="Arial" w:hAnsi="宋体" w:cs="Arial"/>
          <w:sz w:val="28"/>
          <w:szCs w:val="28"/>
        </w:rPr>
        <w:t>）GB/T3325-2008《金属家具通用技术条件》</w:t>
      </w:r>
    </w:p>
    <w:p>
      <w:pPr>
        <w:spacing w:line="360" w:lineRule="auto"/>
        <w:rPr>
          <w:rFonts w:ascii="Arial" w:hAnsi="宋体" w:cs="Arial"/>
          <w:sz w:val="28"/>
          <w:szCs w:val="28"/>
        </w:rPr>
      </w:pPr>
      <w:r>
        <w:rPr>
          <w:rFonts w:hint="eastAsia" w:ascii="Arial" w:hAnsi="宋体" w:cs="Arial"/>
          <w:sz w:val="28"/>
          <w:szCs w:val="28"/>
        </w:rPr>
        <w:t>（6）GB/T24409-2009《金属涂料有害物质限量》</w:t>
      </w:r>
    </w:p>
    <w:p>
      <w:pPr>
        <w:spacing w:line="360" w:lineRule="auto"/>
        <w:rPr>
          <w:rFonts w:ascii="Arial" w:hAnsi="宋体" w:cs="Arial"/>
          <w:sz w:val="28"/>
          <w:szCs w:val="28"/>
        </w:rPr>
      </w:pPr>
      <w:r>
        <w:rPr>
          <w:rFonts w:hint="eastAsia" w:ascii="Arial" w:hAnsi="宋体" w:cs="Arial"/>
          <w:sz w:val="28"/>
          <w:szCs w:val="28"/>
        </w:rPr>
        <w:t>（7）GB/T6739-2006《色泽和清漆铅笔法测定漆膜硬度》</w:t>
      </w:r>
    </w:p>
    <w:p>
      <w:pPr>
        <w:spacing w:line="360" w:lineRule="auto"/>
        <w:rPr>
          <w:rFonts w:ascii="Arial" w:hAnsi="宋体" w:cs="Arial"/>
          <w:sz w:val="28"/>
          <w:szCs w:val="28"/>
        </w:rPr>
      </w:pPr>
      <w:r>
        <w:rPr>
          <w:rFonts w:hint="eastAsia" w:ascii="Arial" w:hAnsi="宋体" w:cs="Arial"/>
          <w:sz w:val="28"/>
          <w:szCs w:val="28"/>
        </w:rPr>
        <w:t>（8）GB/T1294-2013《家用和类似用途制冷器具用门密封条》</w:t>
      </w:r>
    </w:p>
    <w:p>
      <w:pPr>
        <w:spacing w:line="360" w:lineRule="auto"/>
        <w:outlineLvl w:val="0"/>
        <w:rPr>
          <w:rFonts w:ascii="Arial" w:hAnsi="宋体" w:cs="Arial"/>
          <w:sz w:val="28"/>
          <w:szCs w:val="28"/>
        </w:rPr>
      </w:pPr>
      <w:r>
        <w:rPr>
          <w:rFonts w:hint="eastAsia" w:ascii="Arial" w:hAnsi="宋体" w:cs="Arial"/>
          <w:sz w:val="28"/>
          <w:szCs w:val="28"/>
        </w:rPr>
        <w:t>（9）GB/T1732-1993《漆膜耐冲击测定法》</w:t>
      </w:r>
    </w:p>
    <w:p>
      <w:pPr>
        <w:spacing w:line="360" w:lineRule="auto"/>
        <w:rPr>
          <w:rFonts w:ascii="Arial" w:hAnsi="宋体" w:cs="Arial"/>
          <w:sz w:val="28"/>
          <w:szCs w:val="28"/>
        </w:rPr>
      </w:pPr>
      <w:r>
        <w:rPr>
          <w:rFonts w:hint="eastAsia" w:ascii="Arial" w:hAnsi="宋体" w:cs="Arial"/>
          <w:sz w:val="28"/>
          <w:szCs w:val="28"/>
        </w:rPr>
        <w:t>（10）QB/T1950-2013《家具表面漆膜耐盐浴测定法》</w:t>
      </w:r>
    </w:p>
    <w:p>
      <w:pPr>
        <w:spacing w:line="360" w:lineRule="auto"/>
        <w:outlineLvl w:val="0"/>
        <w:rPr>
          <w:rFonts w:ascii="Arial" w:hAnsi="宋体" w:cs="Arial"/>
          <w:sz w:val="28"/>
          <w:szCs w:val="28"/>
        </w:rPr>
      </w:pPr>
      <w:r>
        <w:rPr>
          <w:rFonts w:hint="eastAsia" w:ascii="Arial" w:hAnsi="宋体" w:cs="Arial"/>
          <w:sz w:val="28"/>
          <w:szCs w:val="28"/>
        </w:rPr>
        <w:t>（11）GB/T9286-1998《色泽和清漆漆膜的画格试验》</w:t>
      </w:r>
    </w:p>
    <w:p>
      <w:pPr>
        <w:spacing w:line="360" w:lineRule="auto"/>
        <w:rPr>
          <w:rFonts w:ascii="Arial" w:hAnsi="宋体" w:cs="Arial"/>
          <w:sz w:val="28"/>
          <w:szCs w:val="28"/>
        </w:rPr>
      </w:pPr>
      <w:r>
        <w:rPr>
          <w:rFonts w:hint="eastAsia" w:ascii="Arial" w:hAnsi="宋体" w:cs="Arial"/>
          <w:sz w:val="28"/>
          <w:szCs w:val="28"/>
        </w:rPr>
        <w:t>（12）GB/T3177-2009《产品几何技术规范（GPS）光滑工件尺寸的检验》</w:t>
      </w:r>
    </w:p>
    <w:p>
      <w:pPr>
        <w:spacing w:line="360" w:lineRule="auto"/>
        <w:rPr>
          <w:rFonts w:ascii="Arial" w:hAnsi="宋体" w:cs="Arial"/>
          <w:sz w:val="28"/>
          <w:szCs w:val="28"/>
        </w:rPr>
      </w:pPr>
      <w:r>
        <w:rPr>
          <w:rFonts w:hint="eastAsia" w:ascii="Arial" w:hAnsi="宋体" w:cs="Arial"/>
          <w:sz w:val="28"/>
          <w:szCs w:val="28"/>
        </w:rPr>
        <w:t>（13）GB18583-2008《室内装饰装修材料有害物质限量》</w:t>
      </w:r>
    </w:p>
    <w:p>
      <w:pPr>
        <w:spacing w:line="360" w:lineRule="auto"/>
        <w:rPr>
          <w:rFonts w:ascii="Arial" w:hAnsi="宋体" w:cs="Arial"/>
          <w:szCs w:val="21"/>
        </w:rPr>
      </w:pPr>
      <w:r>
        <w:rPr>
          <w:rFonts w:hint="eastAsia" w:ascii="Arial" w:hAnsi="宋体" w:cs="Arial"/>
          <w:sz w:val="28"/>
          <w:szCs w:val="28"/>
        </w:rPr>
        <w:t>（14）GB/T228.12010《金属材料拉伸试验第一部分：室温试验方法</w:t>
      </w:r>
      <w:r>
        <w:rPr>
          <w:rFonts w:hint="eastAsia" w:ascii="Arial" w:hAnsi="宋体" w:cs="Arial"/>
          <w:szCs w:val="21"/>
        </w:rPr>
        <w:t>》</w:t>
      </w:r>
    </w:p>
    <w:p>
      <w:pPr>
        <w:spacing w:line="360" w:lineRule="auto"/>
        <w:rPr>
          <w:rFonts w:ascii="Arial" w:hAnsi="宋体" w:cs="Arial"/>
          <w:sz w:val="28"/>
          <w:szCs w:val="28"/>
        </w:rPr>
      </w:pPr>
      <w:r>
        <w:rPr>
          <w:rFonts w:hint="eastAsia" w:ascii="Arial" w:hAnsi="宋体" w:cs="Arial"/>
          <w:sz w:val="28"/>
          <w:szCs w:val="28"/>
        </w:rPr>
        <w:t>（15）GB/T 21866-2008《抗菌涂料（漆膜）抗菌性测定法和抗菌效果》</w:t>
      </w:r>
    </w:p>
    <w:p>
      <w:pPr>
        <w:spacing w:line="360" w:lineRule="auto"/>
        <w:outlineLvl w:val="0"/>
        <w:rPr>
          <w:rFonts w:ascii="Arial" w:hAnsi="宋体" w:cs="Arial"/>
          <w:sz w:val="28"/>
          <w:szCs w:val="28"/>
        </w:rPr>
      </w:pPr>
      <w:r>
        <w:rPr>
          <w:rFonts w:hint="eastAsia" w:ascii="Arial" w:hAnsi="宋体" w:cs="Arial"/>
          <w:sz w:val="28"/>
          <w:szCs w:val="28"/>
        </w:rPr>
        <w:t>（16）GB/T 1741-2007《漆膜耐霉菌性测定法》</w:t>
      </w:r>
    </w:p>
    <w:p>
      <w:pPr>
        <w:rPr>
          <w:rFonts w:asciiTheme="majorEastAsia" w:hAnsiTheme="majorEastAsia" w:eastAsiaTheme="majorEastAsia"/>
          <w:b/>
          <w:sz w:val="28"/>
          <w:szCs w:val="28"/>
        </w:rPr>
      </w:pPr>
      <w:r>
        <w:rPr>
          <w:rFonts w:hint="eastAsia" w:asciiTheme="majorEastAsia" w:hAnsiTheme="majorEastAsia" w:eastAsiaTheme="majorEastAsia"/>
          <w:b/>
          <w:sz w:val="28"/>
          <w:szCs w:val="28"/>
        </w:rPr>
        <w:t>2.密集架技术标准</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(1)每标准节组装后，外形尺寸的极限偏差为±2mm，立柱与导轨的垂直度不大于2mm。侧面板和中腰带的对缝处的间隙不大于2mm，门缝间隙均匀并在1～2mm之间。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(2)传动机构应转动灵活、平稳、不得有失灵现象。</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(3)导轨安装平行度偏差不大于Imm/m，全长不大于2mm，导轨对接处高低差不大于0.3mm。</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(4)底梁必须平直，直线度不大于0.5mm／m，全长不大于2mm。</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(5)架体安装垂直度偏差小于2mm，达到横平竖直。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(6)各零件、组合件表面光滑、平整，不得有尖角、突起。</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(7)所有焊接件焊接牢固，焊痕打磨光滑平整。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(8)喷塑表面色泽一致，塑面均匀光滑，无划伤。</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(9)产品各零件、组合件之间应能具有互换性。</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(10)搁板上均匀载重40KG，放置24h最大挠度小于4mm，卸载后2h搁板不得有裂缝，残余变形量不大于0.3mm。</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(11)每标准节在全负载的情况下，各结构件和架体没有明显变形，架体不应产生倾斜现象。</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(12)在全负载的情况下，各列密集架应运动自如，不得有阻滞现象，单列密集架运行，手柄摇力不大于10N。</w:t>
      </w:r>
    </w:p>
    <w:p>
      <w:pPr>
        <w:outlineLvl w:val="0"/>
        <w:rPr>
          <w:rFonts w:asciiTheme="majorEastAsia" w:hAnsiTheme="majorEastAsia" w:eastAsiaTheme="majorEastAsia"/>
          <w:b/>
          <w:sz w:val="28"/>
          <w:szCs w:val="28"/>
        </w:rPr>
      </w:pPr>
      <w:r>
        <w:rPr>
          <w:rFonts w:hint="eastAsia" w:asciiTheme="majorEastAsia" w:hAnsiTheme="majorEastAsia" w:eastAsiaTheme="majorEastAsia"/>
          <w:b/>
          <w:sz w:val="28"/>
          <w:szCs w:val="28"/>
        </w:rPr>
        <w:t>3、工艺特点</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(1)制定严格的产品企业标准，并有完善的质量检验制度和控制手段。有高精度的剪板机、折弯机、各种机械加工设备及全自动高压静电喷塑设备，工艺装备齐全。</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(2)所有钣金件、机加工件加工后均打磨毛刺，无裂痕及伤痕。</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(3)所有焊接件均焊接牢固，外表光滑平整。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(4)每标准节组装后，质量符合技术标准要求。</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(5)产品的全部钣金件均经过严格的酸洗、除锈、磷化等十三道工序处理，选用进口大型流水线自动前处理喷涂设备。表面喷涂粉末材料采用具有环保性质的阿克苏诺贝尔长诚涂料有限公司生产的高强度树脂粉末。其相关技术性能完全符合GB-T13667. 16.3档案管理要求。喷涂无死角。经此表面处理的零件耐环境腐蚀性强、涂层牢固、美观大方。表面处理工艺过程如下：预处理一60℃-80℃热脱脂一冷水清洗一除锈一冷水清洗一中和一冷水清洗一表调一60℃-70℃热磷化一冷水清洗一65℃-80℃热钝化一静电喷粉一180℃固化。漆膜附着力达到GB1720中的二级指标。塑膜厚度为60-TOp m，塑层防锈能力20年以上。</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(6)所有标准件及紧固件均经氧化或镀锌处理。</w:t>
      </w:r>
    </w:p>
    <w:p>
      <w:pPr>
        <w:outlineLvl w:val="0"/>
        <w:rPr>
          <w:rFonts w:asciiTheme="majorEastAsia" w:hAnsiTheme="majorEastAsia" w:eastAsiaTheme="majorEastAsia"/>
          <w:b/>
          <w:sz w:val="28"/>
          <w:szCs w:val="28"/>
        </w:rPr>
      </w:pPr>
      <w:r>
        <w:rPr>
          <w:rFonts w:hint="eastAsia" w:asciiTheme="majorEastAsia" w:hAnsiTheme="majorEastAsia" w:eastAsiaTheme="majorEastAsia"/>
          <w:b/>
          <w:sz w:val="28"/>
          <w:szCs w:val="28"/>
        </w:rPr>
        <w:t>4、材料选用</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(1)金属钢板</w:t>
      </w:r>
    </w:p>
    <w:p>
      <w:pPr>
        <w:ind w:firstLine="560" w:firstLineChars="200"/>
        <w:rPr>
          <w:rFonts w:asciiTheme="majorEastAsia" w:hAnsiTheme="majorEastAsia" w:eastAsiaTheme="majorEastAsia"/>
          <w:sz w:val="28"/>
          <w:szCs w:val="28"/>
        </w:rPr>
      </w:pPr>
      <w:r>
        <w:rPr>
          <w:rFonts w:hint="eastAsia" w:asciiTheme="majorEastAsia" w:hAnsiTheme="majorEastAsia" w:eastAsiaTheme="majorEastAsia"/>
          <w:sz w:val="28"/>
          <w:szCs w:val="28"/>
        </w:rPr>
        <w:t>产品均选用上海宝钢冷轧钢板，部分部件厚度如下：详见材料规格一览表。</w:t>
      </w:r>
    </w:p>
    <w:p>
      <w:pPr>
        <w:outlineLvl w:val="0"/>
        <w:rPr>
          <w:rFonts w:asciiTheme="majorEastAsia" w:hAnsiTheme="majorEastAsia" w:eastAsiaTheme="majorEastAsia"/>
          <w:sz w:val="28"/>
          <w:szCs w:val="28"/>
        </w:rPr>
      </w:pPr>
      <w:r>
        <w:rPr>
          <w:rFonts w:hint="eastAsia" w:asciiTheme="majorEastAsia" w:hAnsiTheme="majorEastAsia" w:eastAsiaTheme="majorEastAsia"/>
          <w:sz w:val="28"/>
          <w:szCs w:val="28"/>
        </w:rPr>
        <w:t>(2)传动机构</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★①传动轴：采用直径20mm, 45#冷拉实心圆钢，加工精度为3.2，经热处理调质，HB220-290。</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★②链轮：采用链轮为12 -48齿,45#钢，经锻压精密加工成型，回火去除应力，加工车、滚齿、插键槽、去毛齿、齿部经高频淬火HRC60-62。</w:t>
      </w:r>
    </w:p>
    <w:p>
      <w:pPr>
        <w:ind w:firstLine="280" w:firstLineChars="100"/>
        <w:rPr>
          <w:rFonts w:asciiTheme="majorEastAsia" w:hAnsiTheme="majorEastAsia" w:eastAsiaTheme="majorEastAsia"/>
          <w:sz w:val="28"/>
          <w:szCs w:val="28"/>
        </w:rPr>
      </w:pPr>
      <w:r>
        <w:rPr>
          <w:rFonts w:hint="eastAsia" w:asciiTheme="majorEastAsia" w:hAnsiTheme="majorEastAsia" w:eastAsiaTheme="majorEastAsia"/>
          <w:sz w:val="28"/>
          <w:szCs w:val="28"/>
        </w:rPr>
        <w:t>★③轴承：采用P204E级调心轴承。</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④链条：采用直径8.5mm，节距12.7mm摩托车滚子链条。</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⑤摇手体：采用自脱挂式摇手。</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⑥紧固件为45#、Q235-A钢标准化零件。</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⑦滚轮为HT200铸铁，经加工成型。</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⑧连接管：采用优质无缝钢管，表面镀锌防腐处理。</w:t>
      </w:r>
    </w:p>
    <w:p>
      <w:pPr>
        <w:ind w:firstLine="562" w:firstLineChars="200"/>
        <w:rPr>
          <w:rFonts w:asciiTheme="majorEastAsia" w:hAnsiTheme="majorEastAsia" w:eastAsiaTheme="majorEastAsia"/>
          <w:b/>
          <w:sz w:val="28"/>
          <w:szCs w:val="28"/>
        </w:rPr>
      </w:pPr>
      <w:r>
        <w:rPr>
          <w:rFonts w:hint="eastAsia" w:asciiTheme="majorEastAsia" w:hAnsiTheme="majorEastAsia" w:eastAsiaTheme="majorEastAsia"/>
          <w:b/>
          <w:sz w:val="28"/>
          <w:szCs w:val="28"/>
        </w:rPr>
        <w:t>5、密集架架体配置、材料规格、参数、标准及性能说明一览表</w:t>
      </w:r>
    </w:p>
    <w:p>
      <w:pPr>
        <w:rPr>
          <w:rFonts w:asciiTheme="majorEastAsia" w:hAnsiTheme="majorEastAsia" w:eastAsiaTheme="majorEastAsia"/>
          <w:b/>
          <w:sz w:val="18"/>
          <w:szCs w:val="18"/>
        </w:rPr>
      </w:pPr>
    </w:p>
    <w:tbl>
      <w:tblPr>
        <w:tblStyle w:val="8"/>
        <w:tblW w:w="9655"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8"/>
        <w:gridCol w:w="726"/>
        <w:gridCol w:w="978"/>
        <w:gridCol w:w="1242"/>
        <w:gridCol w:w="1453"/>
        <w:gridCol w:w="2016"/>
        <w:gridCol w:w="2422"/>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设备</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设备配置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材料</w:t>
            </w:r>
          </w:p>
          <w:p>
            <w:pPr>
              <w:jc w:val="center"/>
              <w:rPr>
                <w:rFonts w:asciiTheme="majorEastAsia" w:hAnsiTheme="majorEastAsia" w:eastAsiaTheme="majorEastAsia"/>
                <w:sz w:val="24"/>
              </w:rPr>
            </w:pPr>
            <w:r>
              <w:rPr>
                <w:rFonts w:hint="eastAsia" w:asciiTheme="majorEastAsia" w:hAnsiTheme="majorEastAsia" w:eastAsiaTheme="majorEastAsia"/>
                <w:sz w:val="24"/>
              </w:rPr>
              <w:t>规格</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技术参数</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采用标准</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性能说明</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轨道</w:t>
            </w:r>
          </w:p>
        </w:tc>
        <w:tc>
          <w:tcPr>
            <w:tcW w:w="1704" w:type="dxa"/>
            <w:gridSpan w:val="2"/>
            <w:vAlign w:val="center"/>
          </w:tcPr>
          <w:p>
            <w:pPr>
              <w:spacing w:line="300" w:lineRule="exact"/>
              <w:jc w:val="center"/>
              <w:rPr>
                <w:rFonts w:asciiTheme="majorEastAsia" w:hAnsiTheme="majorEastAsia" w:eastAsiaTheme="majorEastAsia"/>
                <w:sz w:val="24"/>
              </w:rPr>
            </w:pPr>
            <w:r>
              <w:rPr>
                <w:rFonts w:hint="eastAsia" w:ascii="宋体" w:hAnsi="宋体" w:cs="宋体"/>
                <w:sz w:val="24"/>
              </w:rPr>
              <w:t>地轨板</w:t>
            </w:r>
          </w:p>
        </w:tc>
        <w:tc>
          <w:tcPr>
            <w:tcW w:w="1242" w:type="dxa"/>
            <w:vAlign w:val="center"/>
          </w:tcPr>
          <w:p>
            <w:pPr>
              <w:spacing w:line="300" w:lineRule="exact"/>
              <w:jc w:val="center"/>
              <w:rPr>
                <w:rFonts w:asciiTheme="majorEastAsia" w:hAnsiTheme="majorEastAsia" w:eastAsiaTheme="majorEastAsia"/>
                <w:sz w:val="24"/>
              </w:rPr>
            </w:pPr>
            <w:r>
              <w:rPr>
                <w:rFonts w:hint="eastAsia" w:ascii="宋体" w:hAnsi="宋体" w:cs="宋体"/>
                <w:sz w:val="24"/>
              </w:rPr>
              <w:t>δ</w:t>
            </w:r>
            <w:r>
              <w:rPr>
                <w:rFonts w:ascii="宋体" w:hAnsi="宋体" w:cs="宋体"/>
                <w:sz w:val="24"/>
              </w:rPr>
              <w:t>=</w:t>
            </w:r>
            <w:r>
              <w:rPr>
                <w:rFonts w:hint="eastAsia" w:ascii="宋体" w:hAnsi="宋体" w:cs="宋体"/>
                <w:sz w:val="24"/>
              </w:rPr>
              <w:t>3</w:t>
            </w:r>
            <w:r>
              <w:rPr>
                <w:rFonts w:ascii="宋体" w:hAnsi="宋体" w:cs="宋体"/>
                <w:sz w:val="24"/>
              </w:rPr>
              <w:t>.0</w:t>
            </w:r>
          </w:p>
        </w:tc>
        <w:tc>
          <w:tcPr>
            <w:tcW w:w="1453" w:type="dxa"/>
            <w:vAlign w:val="center"/>
          </w:tcPr>
          <w:p>
            <w:pPr>
              <w:spacing w:line="300" w:lineRule="exact"/>
              <w:jc w:val="center"/>
              <w:rPr>
                <w:rFonts w:asciiTheme="majorEastAsia" w:hAnsiTheme="majorEastAsia" w:eastAsiaTheme="majorEastAsia"/>
                <w:sz w:val="24"/>
              </w:rPr>
            </w:pPr>
            <w:r>
              <w:rPr>
                <w:rFonts w:hint="eastAsia" w:ascii="宋体" w:hAnsi="宋体" w:cs="宋体"/>
                <w:sz w:val="24"/>
              </w:rPr>
              <w:t>热轧钢板</w:t>
            </w:r>
          </w:p>
        </w:tc>
        <w:tc>
          <w:tcPr>
            <w:tcW w:w="2016" w:type="dxa"/>
            <w:vAlign w:val="center"/>
          </w:tcPr>
          <w:p>
            <w:pPr>
              <w:spacing w:line="300" w:lineRule="exact"/>
              <w:jc w:val="center"/>
              <w:rPr>
                <w:rFonts w:asciiTheme="majorEastAsia" w:hAnsiTheme="majorEastAsia" w:eastAsiaTheme="majorEastAsia"/>
                <w:sz w:val="24"/>
              </w:rPr>
            </w:pPr>
            <w:r>
              <w:rPr>
                <w:rFonts w:ascii="宋体" w:hAnsi="宋体" w:cs="宋体"/>
                <w:sz w:val="24"/>
              </w:rPr>
              <w:t>GB711-88</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表面镀锌，光洁、平整度高。</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spacing w:line="300" w:lineRule="exact"/>
              <w:jc w:val="center"/>
              <w:rPr>
                <w:rFonts w:asciiTheme="majorEastAsia" w:hAnsiTheme="majorEastAsia" w:eastAsiaTheme="majorEastAsia"/>
                <w:sz w:val="24"/>
              </w:rPr>
            </w:pPr>
            <w:r>
              <w:rPr>
                <w:rFonts w:hint="eastAsia" w:ascii="宋体" w:hAnsi="宋体" w:cs="宋体"/>
                <w:sz w:val="24"/>
              </w:rPr>
              <w:t>轨道</w:t>
            </w:r>
          </w:p>
        </w:tc>
        <w:tc>
          <w:tcPr>
            <w:tcW w:w="1242" w:type="dxa"/>
            <w:vAlign w:val="center"/>
          </w:tcPr>
          <w:p>
            <w:pPr>
              <w:spacing w:line="300" w:lineRule="exact"/>
              <w:jc w:val="center"/>
              <w:rPr>
                <w:rFonts w:asciiTheme="majorEastAsia" w:hAnsiTheme="majorEastAsia" w:eastAsiaTheme="majorEastAsia"/>
                <w:sz w:val="24"/>
              </w:rPr>
            </w:pPr>
            <w:r>
              <w:rPr>
                <w:rFonts w:ascii="宋体" w:hAnsi="宋体" w:cs="宋体"/>
                <w:sz w:val="24"/>
              </w:rPr>
              <w:t>2</w:t>
            </w:r>
            <w:r>
              <w:rPr>
                <w:rFonts w:hint="eastAsia" w:ascii="宋体" w:hAnsi="宋体" w:cs="宋体"/>
                <w:sz w:val="24"/>
              </w:rPr>
              <w:t>0</w:t>
            </w:r>
            <w:r>
              <w:rPr>
                <w:rFonts w:ascii="宋体" w:hAnsi="宋体" w:cs="宋体"/>
                <w:sz w:val="24"/>
              </w:rPr>
              <w:t>*2</w:t>
            </w:r>
            <w:r>
              <w:rPr>
                <w:rFonts w:hint="eastAsia" w:ascii="宋体" w:hAnsi="宋体" w:cs="宋体"/>
                <w:sz w:val="24"/>
              </w:rPr>
              <w:t>0</w:t>
            </w:r>
          </w:p>
        </w:tc>
        <w:tc>
          <w:tcPr>
            <w:tcW w:w="1453" w:type="dxa"/>
            <w:vAlign w:val="center"/>
          </w:tcPr>
          <w:p>
            <w:pPr>
              <w:spacing w:line="300" w:lineRule="exact"/>
              <w:jc w:val="center"/>
              <w:rPr>
                <w:rFonts w:asciiTheme="majorEastAsia" w:hAnsiTheme="majorEastAsia" w:eastAsiaTheme="majorEastAsia"/>
                <w:sz w:val="24"/>
              </w:rPr>
            </w:pPr>
            <w:r>
              <w:rPr>
                <w:rFonts w:hint="eastAsia" w:ascii="宋体" w:hAnsi="宋体" w:cs="宋体"/>
                <w:sz w:val="24"/>
              </w:rPr>
              <w:t>实心方钢</w:t>
            </w:r>
          </w:p>
        </w:tc>
        <w:tc>
          <w:tcPr>
            <w:tcW w:w="2016" w:type="dxa"/>
            <w:vAlign w:val="center"/>
          </w:tcPr>
          <w:p>
            <w:pPr>
              <w:spacing w:line="300" w:lineRule="exact"/>
              <w:jc w:val="center"/>
              <w:rPr>
                <w:rFonts w:asciiTheme="majorEastAsia" w:hAnsiTheme="majorEastAsia" w:eastAsiaTheme="majorEastAsia"/>
                <w:sz w:val="24"/>
              </w:rPr>
            </w:pPr>
            <w:r>
              <w:rPr>
                <w:rFonts w:ascii="宋体" w:hAnsi="宋体" w:cs="宋体"/>
                <w:sz w:val="24"/>
              </w:rPr>
              <w:t>GB699-88</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底盘</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底梁、轴承档、夹紧块</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3.0mm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冷轧钢板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底盘采用整体焊接、刚性足、不变形，表面喷塑，分段式结构</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架体</w:t>
            </w:r>
            <w:r>
              <w:rPr>
                <w:rFonts w:hint="eastAsia" w:asciiTheme="majorEastAsia" w:hAnsiTheme="majorEastAsia" w:eastAsiaTheme="majorEastAsia"/>
                <w:sz w:val="28"/>
                <w:szCs w:val="28"/>
              </w:rPr>
              <w:t>★</w:t>
            </w:r>
          </w:p>
        </w:tc>
        <w:tc>
          <w:tcPr>
            <w:tcW w:w="1704" w:type="dxa"/>
            <w:gridSpan w:val="2"/>
            <w:vAlign w:val="center"/>
          </w:tcPr>
          <w:p>
            <w:pPr>
              <w:ind w:firstLine="240" w:firstLineChars="100"/>
              <w:jc w:val="center"/>
              <w:rPr>
                <w:rFonts w:asciiTheme="majorEastAsia" w:hAnsiTheme="majorEastAsia" w:eastAsiaTheme="majorEastAsia"/>
                <w:sz w:val="24"/>
              </w:rPr>
            </w:pPr>
            <w:r>
              <w:rPr>
                <w:rFonts w:hint="eastAsia" w:asciiTheme="majorEastAsia" w:hAnsiTheme="majorEastAsia" w:eastAsiaTheme="majorEastAsia"/>
                <w:sz w:val="24"/>
              </w:rPr>
              <w:t>立板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1.5mm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架体结实、坚固、设备新颖，安装规范，每节单面层数和间距可自由调整</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搁板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1.2mm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ind w:firstLine="240" w:firstLineChars="100"/>
              <w:jc w:val="center"/>
              <w:rPr>
                <w:rFonts w:asciiTheme="majorEastAsia" w:hAnsiTheme="majorEastAsia" w:eastAsiaTheme="majorEastAsia"/>
                <w:sz w:val="24"/>
              </w:rPr>
            </w:pPr>
            <w:r>
              <w:rPr>
                <w:rFonts w:hint="eastAsia" w:asciiTheme="majorEastAsia" w:hAnsiTheme="majorEastAsia" w:eastAsiaTheme="majorEastAsia"/>
                <w:sz w:val="24"/>
              </w:rPr>
              <w:t>侧缝板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1.2mm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中缝板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顶板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门面</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门框</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restart"/>
            <w:vAlign w:val="center"/>
          </w:tcPr>
          <w:p>
            <w:pPr>
              <w:jc w:val="center"/>
              <w:rPr>
                <w:rFonts w:asciiTheme="majorEastAsia" w:hAnsiTheme="majorEastAsia" w:eastAsiaTheme="majorEastAsia"/>
                <w:szCs w:val="21"/>
              </w:rPr>
            </w:pPr>
            <w:r>
              <w:rPr>
                <w:rFonts w:hint="eastAsia" w:asciiTheme="majorEastAsia" w:hAnsiTheme="majorEastAsia" w:eastAsiaTheme="majorEastAsia"/>
                <w:szCs w:val="21"/>
              </w:rPr>
              <w:t>门板平整、款式新颖，表面亚光喷塑采用数控冲压7字型花纹，</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门板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三节式侧护板</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采用数控模压仿古门型印、凸包、回形印</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Align w:val="center"/>
          </w:tcPr>
          <w:p>
            <w:pPr>
              <w:rPr>
                <w:rFonts w:asciiTheme="majorEastAsia" w:hAnsiTheme="majorEastAsia" w:eastAsiaTheme="majorEastAsia"/>
                <w:sz w:val="24"/>
              </w:rPr>
            </w:pPr>
            <w:r>
              <w:rPr>
                <w:rFonts w:hint="eastAsia" w:asciiTheme="majorEastAsia" w:hAnsiTheme="majorEastAsia" w:eastAsiaTheme="majorEastAsia"/>
                <w:sz w:val="24"/>
              </w:rPr>
              <w:t>款式新颖，表面亚光喷塑，</w:t>
            </w:r>
          </w:p>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传动机构</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轴承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P204</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E级</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精密度高，万向灵活，材料质量好，耐压与耐磨性能好</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传动轴</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φ20</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45#圆钢</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传动机构配合精密度高，定位可靠，传动轻便灵活，摇手轻，运行平稳性能达到超过国家标准，表面镀锌处理。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连接钢管</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φ20*20</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无缝钢管</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铁滚轮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HT200</w:t>
            </w:r>
          </w:p>
          <w:p>
            <w:pPr>
              <w:jc w:val="center"/>
              <w:rPr>
                <w:rFonts w:asciiTheme="majorEastAsia" w:hAnsiTheme="majorEastAsia" w:eastAsiaTheme="majorEastAsia"/>
                <w:sz w:val="24"/>
              </w:rPr>
            </w:pPr>
            <w:r>
              <w:rPr>
                <w:rFonts w:hint="eastAsia" w:asciiTheme="majorEastAsia" w:hAnsiTheme="majorEastAsia" w:eastAsiaTheme="majorEastAsia"/>
                <w:sz w:val="24"/>
              </w:rPr>
              <w:t>铸铁</w:t>
            </w:r>
          </w:p>
        </w:tc>
        <w:tc>
          <w:tcPr>
            <w:tcW w:w="1453" w:type="dxa"/>
            <w:vAlign w:val="center"/>
          </w:tcPr>
          <w:p>
            <w:pPr>
              <w:jc w:val="center"/>
              <w:rPr>
                <w:rFonts w:asciiTheme="majorEastAsia" w:hAnsiTheme="majorEastAsia" w:eastAsiaTheme="majorEastAsia"/>
                <w:sz w:val="24"/>
              </w:rPr>
            </w:pP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GB/T231.1-2009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链轮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ZG45</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滚齿精制</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GB/T231.1-2009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摩托车链条</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FR420</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φ8.5</w:t>
            </w:r>
          </w:p>
          <w:p>
            <w:pPr>
              <w:jc w:val="center"/>
              <w:rPr>
                <w:rFonts w:asciiTheme="majorEastAsia" w:hAnsiTheme="majorEastAsia" w:eastAsiaTheme="majorEastAsia"/>
                <w:sz w:val="24"/>
              </w:rPr>
            </w:pPr>
            <w:r>
              <w:rPr>
                <w:rFonts w:hint="eastAsia" w:asciiTheme="majorEastAsia" w:hAnsiTheme="majorEastAsia" w:eastAsiaTheme="majorEastAsia"/>
                <w:sz w:val="24"/>
              </w:rPr>
              <w:t>节距12.7</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GB/T231.1-2009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726"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摇手体总成</w:t>
            </w:r>
          </w:p>
        </w:tc>
        <w:tc>
          <w:tcPr>
            <w:tcW w:w="97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摇手体</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ZG45</w:t>
            </w:r>
          </w:p>
        </w:tc>
        <w:tc>
          <w:tcPr>
            <w:tcW w:w="1453"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自由离合器折叠摇把</w:t>
            </w:r>
          </w:p>
        </w:tc>
        <w:tc>
          <w:tcPr>
            <w:tcW w:w="2016"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造型美观大方，手感舒适，把手为折叠式，可避免通道障碍，摇动任意一列不会带动其它把手</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726" w:type="dxa"/>
            <w:vMerge w:val="continue"/>
            <w:vAlign w:val="center"/>
          </w:tcPr>
          <w:p>
            <w:pPr>
              <w:jc w:val="center"/>
              <w:rPr>
                <w:rFonts w:asciiTheme="majorEastAsia" w:hAnsiTheme="majorEastAsia" w:eastAsiaTheme="majorEastAsia"/>
                <w:sz w:val="24"/>
              </w:rPr>
            </w:pPr>
          </w:p>
        </w:tc>
        <w:tc>
          <w:tcPr>
            <w:tcW w:w="97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滚轮</w:t>
            </w:r>
          </w:p>
          <w:p>
            <w:pPr>
              <w:jc w:val="center"/>
              <w:rPr>
                <w:rFonts w:asciiTheme="majorEastAsia" w:hAnsiTheme="majorEastAsia" w:eastAsiaTheme="majorEastAsia"/>
                <w:sz w:val="24"/>
              </w:rPr>
            </w:pPr>
            <w:r>
              <w:rPr>
                <w:rFonts w:hint="eastAsia" w:asciiTheme="majorEastAsia" w:hAnsiTheme="majorEastAsia" w:eastAsiaTheme="majorEastAsia"/>
                <w:sz w:val="24"/>
              </w:rPr>
              <w:t>轴承</w:t>
            </w:r>
          </w:p>
        </w:tc>
        <w:tc>
          <w:tcPr>
            <w:tcW w:w="1242" w:type="dxa"/>
            <w:vAlign w:val="center"/>
          </w:tcPr>
          <w:p>
            <w:pPr>
              <w:jc w:val="center"/>
              <w:rPr>
                <w:rFonts w:asciiTheme="majorEastAsia" w:hAnsiTheme="majorEastAsia" w:eastAsiaTheme="majorEastAsia"/>
                <w:sz w:val="24"/>
              </w:rPr>
            </w:pPr>
          </w:p>
        </w:tc>
        <w:tc>
          <w:tcPr>
            <w:tcW w:w="1453" w:type="dxa"/>
            <w:vMerge w:val="continue"/>
            <w:vAlign w:val="center"/>
          </w:tcPr>
          <w:p>
            <w:pPr>
              <w:jc w:val="center"/>
              <w:rPr>
                <w:rFonts w:asciiTheme="majorEastAsia" w:hAnsiTheme="majorEastAsia" w:eastAsiaTheme="majorEastAsia"/>
                <w:sz w:val="24"/>
              </w:rPr>
            </w:pPr>
          </w:p>
        </w:tc>
        <w:tc>
          <w:tcPr>
            <w:tcW w:w="2016" w:type="dxa"/>
            <w:vMerge w:val="continue"/>
            <w:vAlign w:val="center"/>
          </w:tcPr>
          <w:p>
            <w:pPr>
              <w:jc w:val="center"/>
              <w:rPr>
                <w:rFonts w:asciiTheme="majorEastAsia" w:hAnsiTheme="majorEastAsia" w:eastAsiaTheme="majorEastAsia"/>
                <w:sz w:val="24"/>
              </w:rPr>
            </w:pP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制动装置</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侧列锁定</w:t>
            </w:r>
          </w:p>
          <w:p>
            <w:pPr>
              <w:jc w:val="center"/>
              <w:rPr>
                <w:rFonts w:asciiTheme="majorEastAsia" w:hAnsiTheme="majorEastAsia" w:eastAsiaTheme="majorEastAsia"/>
                <w:sz w:val="24"/>
              </w:rPr>
            </w:pPr>
            <w:r>
              <w:rPr>
                <w:rFonts w:hint="eastAsia" w:asciiTheme="majorEastAsia" w:hAnsiTheme="majorEastAsia" w:eastAsiaTheme="majorEastAsia"/>
                <w:sz w:val="24"/>
              </w:rPr>
              <w:t>装置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808锁</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每一列均可锁紧，并装锁</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每列均装有制动装置，磁性密封条，操作方便，制动可靠，使用存取安全。</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中列制动</w:t>
            </w:r>
          </w:p>
          <w:p>
            <w:pPr>
              <w:jc w:val="center"/>
              <w:rPr>
                <w:rFonts w:asciiTheme="majorEastAsia" w:hAnsiTheme="majorEastAsia" w:eastAsiaTheme="majorEastAsia"/>
                <w:sz w:val="24"/>
              </w:rPr>
            </w:pPr>
            <w:r>
              <w:rPr>
                <w:rFonts w:hint="eastAsia" w:asciiTheme="majorEastAsia" w:hAnsiTheme="majorEastAsia" w:eastAsiaTheme="majorEastAsia"/>
                <w:sz w:val="24"/>
              </w:rPr>
              <w:t>装置</w:t>
            </w:r>
          </w:p>
        </w:tc>
        <w:tc>
          <w:tcPr>
            <w:tcW w:w="1242" w:type="dxa"/>
            <w:vAlign w:val="center"/>
          </w:tcPr>
          <w:p>
            <w:pPr>
              <w:jc w:val="center"/>
              <w:rPr>
                <w:rFonts w:asciiTheme="majorEastAsia" w:hAnsiTheme="majorEastAsia" w:eastAsiaTheme="majorEastAsia"/>
                <w:sz w:val="24"/>
              </w:rPr>
            </w:pPr>
          </w:p>
        </w:tc>
        <w:tc>
          <w:tcPr>
            <w:tcW w:w="1453" w:type="dxa"/>
            <w:vAlign w:val="center"/>
          </w:tcPr>
          <w:p>
            <w:pPr>
              <w:jc w:val="center"/>
              <w:rPr>
                <w:rFonts w:asciiTheme="majorEastAsia" w:hAnsiTheme="majorEastAsia" w:eastAsiaTheme="majorEastAsia"/>
                <w:sz w:val="24"/>
              </w:rPr>
            </w:pP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防护装置</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防震、防尘</w:t>
            </w:r>
          </w:p>
          <w:p>
            <w:pPr>
              <w:jc w:val="center"/>
              <w:rPr>
                <w:rFonts w:asciiTheme="majorEastAsia" w:hAnsiTheme="majorEastAsia" w:eastAsiaTheme="majorEastAsia"/>
                <w:sz w:val="24"/>
              </w:rPr>
            </w:pPr>
            <w:r>
              <w:rPr>
                <w:rFonts w:hint="eastAsia" w:asciiTheme="majorEastAsia" w:hAnsiTheme="majorEastAsia" w:eastAsiaTheme="majorEastAsia"/>
                <w:sz w:val="24"/>
              </w:rPr>
              <w:t>装置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20mm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PVC磁封条</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GB/T1294-2013</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每列的接触面均有缓冲及密封装置。具有良好的防震、防尘、防鼠、防光、防潮、防火功能</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防尘板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冷轧钢板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防鼠板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冷轧钢板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防倾倒装置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3.0mm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表面处理</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前处理药剂</w:t>
            </w:r>
          </w:p>
        </w:tc>
        <w:tc>
          <w:tcPr>
            <w:tcW w:w="2695"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ZN系磷化</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FRE-9100E</w:t>
            </w:r>
          </w:p>
        </w:tc>
        <w:tc>
          <w:tcPr>
            <w:tcW w:w="2422" w:type="dxa"/>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高压静电</w:t>
            </w:r>
          </w:p>
          <w:p>
            <w:pPr>
              <w:jc w:val="center"/>
              <w:rPr>
                <w:rFonts w:asciiTheme="majorEastAsia" w:hAnsiTheme="majorEastAsia" w:eastAsiaTheme="majorEastAsia"/>
                <w:sz w:val="24"/>
              </w:rPr>
            </w:pPr>
            <w:r>
              <w:rPr>
                <w:rFonts w:hint="eastAsia" w:asciiTheme="majorEastAsia" w:hAnsiTheme="majorEastAsia" w:eastAsiaTheme="majorEastAsia"/>
                <w:sz w:val="24"/>
              </w:rPr>
              <w:t>喷塑</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环氧型聚脂混合粉</w:t>
            </w:r>
          </w:p>
        </w:tc>
        <w:tc>
          <w:tcPr>
            <w:tcW w:w="1453" w:type="dxa"/>
            <w:vAlign w:val="center"/>
          </w:tcPr>
          <w:p>
            <w:pPr>
              <w:jc w:val="center"/>
              <w:rPr>
                <w:rFonts w:asciiTheme="majorEastAsia" w:hAnsiTheme="majorEastAsia" w:eastAsiaTheme="majorEastAsia"/>
                <w:sz w:val="24"/>
              </w:rPr>
            </w:pPr>
          </w:p>
        </w:tc>
        <w:tc>
          <w:tcPr>
            <w:tcW w:w="2016" w:type="dxa"/>
            <w:vAlign w:val="center"/>
          </w:tcPr>
          <w:p>
            <w:pPr>
              <w:rPr>
                <w:rFonts w:asciiTheme="majorEastAsia" w:hAnsiTheme="majorEastAsia" w:eastAsiaTheme="majorEastAsia"/>
                <w:sz w:val="24"/>
              </w:rPr>
            </w:pPr>
            <w:r>
              <w:rPr>
                <w:rFonts w:hint="eastAsia" w:asciiTheme="majorEastAsia" w:hAnsiTheme="majorEastAsia" w:eastAsiaTheme="majorEastAsia"/>
                <w:sz w:val="24"/>
              </w:rPr>
              <w:t>QB/T1950-2013</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色泽均匀、无气泡</w:t>
            </w:r>
          </w:p>
        </w:tc>
      </w:tr>
    </w:tbl>
    <w:p>
      <w:pPr>
        <w:pStyle w:val="2"/>
      </w:pPr>
    </w:p>
    <w:p>
      <w:pPr>
        <w:pStyle w:val="2"/>
      </w:pPr>
    </w:p>
    <w:p>
      <w:pPr>
        <w:ind w:firstLine="420" w:firstLineChars="200"/>
      </w:pPr>
    </w:p>
    <w:p>
      <w:pPr>
        <w:ind w:firstLine="420" w:firstLineChars="200"/>
      </w:pPr>
    </w:p>
    <w:p>
      <w:pPr>
        <w:ind w:firstLine="420" w:firstLineChars="200"/>
      </w:pPr>
    </w:p>
    <w:p>
      <w:pPr>
        <w:ind w:firstLine="420" w:firstLineChars="200"/>
      </w:pPr>
    </w:p>
    <w:p>
      <w:pPr>
        <w:rPr>
          <w:sz w:val="32"/>
          <w:szCs w:val="40"/>
        </w:rPr>
      </w:pPr>
    </w:p>
    <w:p>
      <w:pPr>
        <w:pStyle w:val="2"/>
      </w:pPr>
    </w:p>
    <w:p>
      <w:pPr>
        <w:pStyle w:val="2"/>
      </w:pPr>
    </w:p>
    <w:p>
      <w:pPr>
        <w:pStyle w:val="2"/>
      </w:pPr>
    </w:p>
    <w:p>
      <w:pPr>
        <w:rPr>
          <w:sz w:val="32"/>
          <w:szCs w:val="40"/>
        </w:rPr>
      </w:pPr>
    </w:p>
    <w:p>
      <w:pPr>
        <w:rPr>
          <w:sz w:val="32"/>
          <w:szCs w:val="40"/>
        </w:rPr>
      </w:pPr>
      <w:r>
        <w:rPr>
          <w:rFonts w:hint="eastAsia"/>
          <w:sz w:val="32"/>
          <w:szCs w:val="40"/>
        </w:rPr>
        <w:t>6、密集架部件小样技术要求：</w:t>
      </w:r>
    </w:p>
    <w:p>
      <w:pPr>
        <w:rPr>
          <w:b/>
          <w:sz w:val="24"/>
        </w:rPr>
      </w:pPr>
      <w:r>
        <w:rPr>
          <w:rFonts w:hint="eastAsia" w:asciiTheme="minorEastAsia" w:hAnsiTheme="minorEastAsia"/>
          <w:bCs/>
          <w:sz w:val="24"/>
        </w:rPr>
        <w:t>★</w:t>
      </w:r>
      <w:r>
        <w:rPr>
          <w:rFonts w:hint="eastAsia" w:ascii="宋体" w:hAnsi="宋体"/>
          <w:b/>
          <w:bCs/>
          <w:sz w:val="24"/>
        </w:rPr>
        <w:t>附件1.</w:t>
      </w:r>
      <w:r>
        <w:rPr>
          <w:rFonts w:hint="eastAsia" w:ascii="黑体" w:hAnsi="黑体" w:eastAsia="黑体" w:cs="宋体"/>
          <w:sz w:val="24"/>
        </w:rPr>
        <w:t xml:space="preserve"> </w:t>
      </w:r>
      <w:r>
        <w:rPr>
          <w:rFonts w:hint="eastAsia" w:ascii="宋体" w:hAnsi="宋体" w:cs="宋体"/>
          <w:w w:val="99"/>
          <w:kern w:val="0"/>
          <w:sz w:val="24"/>
        </w:rPr>
        <w:t>T型档板：每二块搁板中间设有一块档板，便于分隔架体双面存放图书，材料选用1.0mm的优质冷轧钢板压制成槽型，设计为嵌入式压筋档板，碰击不脱落锁紧功能。样品尺寸：宽150*长300*最大厚度47（mm） ±3mm（如附图）</w:t>
      </w:r>
    </w:p>
    <w:p>
      <w:pPr>
        <w:jc w:val="center"/>
        <w:rPr>
          <w:b/>
          <w:sz w:val="24"/>
        </w:rPr>
      </w:pPr>
      <w:r>
        <w:rPr>
          <w:b/>
          <w:sz w:val="24"/>
        </w:rPr>
        <w:drawing>
          <wp:inline distT="0" distB="0" distL="114300" distR="114300">
            <wp:extent cx="2705100" cy="1451610"/>
            <wp:effectExtent l="19050" t="0" r="0" b="0"/>
            <wp:docPr id="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
                    <pic:cNvPicPr>
                      <a:picLocks noChangeAspect="1"/>
                    </pic:cNvPicPr>
                  </pic:nvPicPr>
                  <pic:blipFill>
                    <a:blip r:embed="rId7" cstate="print"/>
                    <a:stretch>
                      <a:fillRect/>
                    </a:stretch>
                  </pic:blipFill>
                  <pic:spPr>
                    <a:xfrm>
                      <a:off x="0" y="0"/>
                      <a:ext cx="2708270" cy="1453396"/>
                    </a:xfrm>
                    <a:prstGeom prst="rect">
                      <a:avLst/>
                    </a:prstGeom>
                    <a:noFill/>
                    <a:ln w="9525">
                      <a:noFill/>
                    </a:ln>
                  </pic:spPr>
                </pic:pic>
              </a:graphicData>
            </a:graphic>
          </wp:inline>
        </w:drawing>
      </w:r>
    </w:p>
    <w:p>
      <w:pPr>
        <w:rPr>
          <w:rFonts w:eastAsia="宋体"/>
          <w:b/>
          <w:sz w:val="44"/>
          <w:szCs w:val="44"/>
        </w:rPr>
      </w:pPr>
      <w:r>
        <w:rPr>
          <w:rFonts w:hint="eastAsia" w:asciiTheme="minorEastAsia" w:hAnsiTheme="minorEastAsia"/>
          <w:b/>
          <w:bCs/>
          <w:sz w:val="24"/>
        </w:rPr>
        <w:t>★</w:t>
      </w:r>
      <w:r>
        <w:rPr>
          <w:rFonts w:hint="eastAsia" w:ascii="宋体" w:hAnsi="宋体"/>
          <w:b/>
          <w:bCs/>
          <w:sz w:val="24"/>
        </w:rPr>
        <w:t>附件2.</w:t>
      </w:r>
      <w:r>
        <w:rPr>
          <w:rFonts w:hint="eastAsia" w:ascii="宋体" w:hAnsi="宋体" w:cs="宋体"/>
          <w:w w:val="99"/>
          <w:kern w:val="0"/>
          <w:sz w:val="24"/>
        </w:rPr>
        <w:t>直径450mm软塑钢骨方向盘摇把，内镶嵌钢板，外包优质软塑材料。外观大方，整体结实耐用。（样品一只）</w:t>
      </w:r>
    </w:p>
    <w:p>
      <w:pPr>
        <w:jc w:val="center"/>
        <w:rPr>
          <w:rFonts w:eastAsia="宋体"/>
          <w:b/>
          <w:sz w:val="44"/>
          <w:szCs w:val="44"/>
        </w:rPr>
      </w:pPr>
      <w:r>
        <w:rPr>
          <w:rFonts w:hint="eastAsia" w:eastAsia="宋体"/>
          <w:b/>
          <w:sz w:val="44"/>
          <w:szCs w:val="44"/>
        </w:rPr>
        <w:drawing>
          <wp:inline distT="0" distB="0" distL="114300" distR="114300">
            <wp:extent cx="1847850" cy="1902460"/>
            <wp:effectExtent l="19050" t="0" r="0" b="0"/>
            <wp:docPr id="35" name="图片 35" descr="IMG_20180425_082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IMG_20180425_082444"/>
                    <pic:cNvPicPr>
                      <a:picLocks noChangeAspect="1"/>
                    </pic:cNvPicPr>
                  </pic:nvPicPr>
                  <pic:blipFill>
                    <a:blip r:embed="rId8" cstate="print"/>
                    <a:srcRect l="18711" r="8422"/>
                    <a:stretch>
                      <a:fillRect/>
                    </a:stretch>
                  </pic:blipFill>
                  <pic:spPr>
                    <a:xfrm>
                      <a:off x="0" y="0"/>
                      <a:ext cx="1847850" cy="1902539"/>
                    </a:xfrm>
                    <a:prstGeom prst="rect">
                      <a:avLst/>
                    </a:prstGeom>
                  </pic:spPr>
                </pic:pic>
              </a:graphicData>
            </a:graphic>
          </wp:inline>
        </w:drawing>
      </w:r>
    </w:p>
    <w:p>
      <w:pPr>
        <w:rPr>
          <w:rFonts w:ascii="宋体" w:hAnsi="宋体"/>
          <w:bCs/>
          <w:sz w:val="24"/>
        </w:rPr>
      </w:pPr>
    </w:p>
    <w:p>
      <w:pPr>
        <w:rPr>
          <w:rFonts w:ascii="宋体" w:hAnsi="宋体" w:cs="宋体"/>
          <w:w w:val="99"/>
          <w:kern w:val="0"/>
          <w:sz w:val="24"/>
        </w:rPr>
      </w:pPr>
      <w:r>
        <w:rPr>
          <w:rFonts w:hint="eastAsia" w:asciiTheme="minorEastAsia" w:hAnsiTheme="minorEastAsia"/>
          <w:bCs/>
          <w:sz w:val="24"/>
        </w:rPr>
        <w:t>★</w:t>
      </w:r>
      <w:r>
        <w:rPr>
          <w:rFonts w:hint="eastAsia" w:ascii="宋体" w:hAnsi="宋体"/>
          <w:b/>
          <w:bCs/>
          <w:sz w:val="24"/>
        </w:rPr>
        <w:t>附件</w:t>
      </w:r>
      <w:r>
        <w:rPr>
          <w:rFonts w:hint="eastAsia" w:ascii="黑体" w:hAnsi="黑体" w:eastAsia="黑体"/>
          <w:b/>
          <w:kern w:val="0"/>
          <w:sz w:val="24"/>
        </w:rPr>
        <w:t>3</w:t>
      </w:r>
      <w:r>
        <w:rPr>
          <w:rFonts w:hint="eastAsia" w:ascii="黑体" w:hAnsi="黑体" w:eastAsia="黑体"/>
          <w:kern w:val="0"/>
          <w:sz w:val="24"/>
        </w:rPr>
        <w:t>.</w:t>
      </w:r>
      <w:r>
        <w:rPr>
          <w:rFonts w:hint="eastAsia" w:ascii="宋体" w:hAnsi="宋体" w:cs="宋体"/>
          <w:w w:val="99"/>
          <w:kern w:val="0"/>
          <w:sz w:val="24"/>
        </w:rPr>
        <w:t>三节侧板：优质冷轧板1.0mm,整块侧板分为上、中、下、三种图案工艺要求制作。侧板上端经油压机压仿古门型印、中段冲小圆点和仿古花纹边、底部压方形门印，见下图。（投标人侧板可按采购人要求加冲LOGO）</w:t>
      </w:r>
    </w:p>
    <w:p>
      <w:pPr>
        <w:jc w:val="center"/>
        <w:rPr>
          <w:rFonts w:ascii="宋体" w:hAnsi="宋体" w:cs="宋体"/>
          <w:w w:val="99"/>
          <w:kern w:val="0"/>
          <w:sz w:val="24"/>
        </w:rPr>
      </w:pPr>
      <w:r>
        <w:drawing>
          <wp:inline distT="0" distB="0" distL="114300" distR="114300">
            <wp:extent cx="1009650" cy="2844165"/>
            <wp:effectExtent l="1905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cstate="print"/>
                    <a:stretch>
                      <a:fillRect/>
                    </a:stretch>
                  </pic:blipFill>
                  <pic:spPr>
                    <a:xfrm>
                      <a:off x="0" y="0"/>
                      <a:ext cx="1011416" cy="2849581"/>
                    </a:xfrm>
                    <a:prstGeom prst="rect">
                      <a:avLst/>
                    </a:prstGeom>
                    <a:noFill/>
                    <a:ln w="9525">
                      <a:noFill/>
                    </a:ln>
                  </pic:spPr>
                </pic:pic>
              </a:graphicData>
            </a:graphic>
          </wp:inline>
        </w:drawing>
      </w:r>
    </w:p>
    <w:p>
      <w:pPr>
        <w:rPr>
          <w:rFonts w:ascii="宋体" w:hAnsi="宋体" w:cs="宋体"/>
          <w:w w:val="99"/>
          <w:kern w:val="0"/>
          <w:sz w:val="24"/>
        </w:rPr>
      </w:pPr>
    </w:p>
    <w:p>
      <w:pPr>
        <w:rPr>
          <w:rFonts w:eastAsia="宋体"/>
          <w:sz w:val="20"/>
          <w:szCs w:val="22"/>
        </w:rPr>
      </w:pPr>
      <w:r>
        <w:rPr>
          <w:rFonts w:hint="eastAsia" w:asciiTheme="minorEastAsia" w:hAnsiTheme="minorEastAsia"/>
          <w:bCs/>
          <w:sz w:val="24"/>
        </w:rPr>
        <w:t>★</w:t>
      </w:r>
      <w:r>
        <w:rPr>
          <w:rFonts w:hint="eastAsia" w:ascii="宋体" w:hAnsi="宋体"/>
          <w:b/>
          <w:bCs/>
          <w:sz w:val="24"/>
        </w:rPr>
        <w:t>附件4</w:t>
      </w:r>
      <w:r>
        <w:rPr>
          <w:rFonts w:hint="eastAsia" w:ascii="宋体" w:hAnsi="宋体" w:eastAsia="宋体" w:cs="宋体"/>
          <w:sz w:val="28"/>
          <w:szCs w:val="28"/>
        </w:rPr>
        <w:t>.</w:t>
      </w:r>
      <w:r>
        <w:rPr>
          <w:rFonts w:hint="eastAsia" w:ascii="宋体" w:hAnsi="宋体" w:cs="宋体"/>
          <w:kern w:val="0"/>
          <w:sz w:val="24"/>
        </w:rPr>
        <w:t xml:space="preserve"> 搁板，采用1.2mm优质冷轧钢板一次滚压成型，搁板正面压6根圆弧筋，侧面厚度23mm上各压1根圆弧筋，采用双槽扁平压印式设计，刚性好、平整、通用性、互换性好外形美观，设计新颖；承重≥100KG，满负载24小时后曲挠度≤3mm，卸载后自动恢复。</w:t>
      </w:r>
      <w:r>
        <w:rPr>
          <w:rFonts w:hint="eastAsia" w:ascii="宋体" w:hAnsi="宋体" w:cs="宋体"/>
          <w:sz w:val="24"/>
        </w:rPr>
        <w:t>圆弧筋尺寸为R2.5X2.5mm（±0.5mm），搁板正面筋到边尺寸为47mm（±1mm），筋与筋之间的间距为10mm（±1mm），两侧面筋到边尺寸为12mm（±1mm）</w:t>
      </w:r>
      <w:r>
        <w:rPr>
          <w:rFonts w:hint="eastAsia" w:ascii="宋体" w:hAnsi="宋体" w:cs="宋体"/>
          <w:kern w:val="0"/>
          <w:sz w:val="24"/>
        </w:rPr>
        <w:t>：样品成型200X300mm。</w:t>
      </w:r>
    </w:p>
    <w:p>
      <w:pPr>
        <w:jc w:val="center"/>
      </w:pPr>
      <w:r>
        <w:drawing>
          <wp:inline distT="0" distB="0" distL="114300" distR="114300">
            <wp:extent cx="2561590" cy="1990725"/>
            <wp:effectExtent l="19050" t="0" r="0" b="0"/>
            <wp:docPr id="16"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descr="IMG_256"/>
                    <pic:cNvPicPr>
                      <a:picLocks noChangeAspect="1"/>
                    </pic:cNvPicPr>
                  </pic:nvPicPr>
                  <pic:blipFill>
                    <a:blip r:embed="rId10" cstate="print"/>
                    <a:stretch>
                      <a:fillRect/>
                    </a:stretch>
                  </pic:blipFill>
                  <pic:spPr>
                    <a:xfrm>
                      <a:off x="0" y="0"/>
                      <a:ext cx="2561595" cy="1990725"/>
                    </a:xfrm>
                    <a:prstGeom prst="rect">
                      <a:avLst/>
                    </a:prstGeom>
                    <a:noFill/>
                    <a:ln w="9525">
                      <a:noFill/>
                    </a:ln>
                  </pic:spPr>
                </pic:pic>
              </a:graphicData>
            </a:graphic>
          </wp:inline>
        </w:drawing>
      </w:r>
    </w:p>
    <w:p>
      <w:pPr>
        <w:spacing w:line="360" w:lineRule="auto"/>
        <w:rPr>
          <w:bCs/>
          <w:sz w:val="24"/>
        </w:rPr>
      </w:pPr>
      <w:r>
        <w:rPr>
          <w:rFonts w:hint="eastAsia" w:asciiTheme="minorEastAsia" w:hAnsiTheme="minorEastAsia"/>
          <w:bCs/>
          <w:sz w:val="24"/>
        </w:rPr>
        <w:t>★</w:t>
      </w:r>
      <w:r>
        <w:rPr>
          <w:rFonts w:hint="eastAsia" w:ascii="宋体" w:hAnsi="宋体"/>
          <w:bCs/>
          <w:sz w:val="24"/>
        </w:rPr>
        <w:t>附件5.四压筋不锈钢标插：采用1.0mm厚304优质不锈钢板，侧板目录标插尺寸不小于140*80mm，压四条筋，不得用铆钉、磁铁或螺丝等其他固定，要便捷安装和拆装。</w:t>
      </w:r>
    </w:p>
    <w:p>
      <w:pPr>
        <w:pStyle w:val="2"/>
        <w:jc w:val="center"/>
      </w:pPr>
      <w:r>
        <w:rPr>
          <w:bCs/>
          <w:sz w:val="20"/>
          <w:szCs w:val="22"/>
        </w:rPr>
        <w:drawing>
          <wp:inline distT="0" distB="0" distL="114300" distR="114300">
            <wp:extent cx="1224280" cy="1285875"/>
            <wp:effectExtent l="0" t="0" r="13970" b="9525"/>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11" cstate="print"/>
                    <a:srcRect l="43250" t="18385" r="37318" b="30934"/>
                    <a:stretch>
                      <a:fillRect/>
                    </a:stretch>
                  </pic:blipFill>
                  <pic:spPr>
                    <a:xfrm>
                      <a:off x="0" y="0"/>
                      <a:ext cx="1224280" cy="1285875"/>
                    </a:xfrm>
                    <a:prstGeom prst="rect">
                      <a:avLst/>
                    </a:prstGeom>
                    <a:noFill/>
                    <a:ln w="9525">
                      <a:noFill/>
                    </a:ln>
                  </pic:spPr>
                </pic:pic>
              </a:graphicData>
            </a:graphic>
          </wp:inline>
        </w:drawing>
      </w:r>
    </w:p>
    <w:p>
      <w:pPr>
        <w:rPr>
          <w:rFonts w:ascii="宋体" w:hAnsi="宋体"/>
          <w:bCs/>
          <w:sz w:val="24"/>
        </w:rPr>
      </w:pPr>
      <w:r>
        <w:rPr>
          <w:rFonts w:hint="eastAsia" w:asciiTheme="minorEastAsia" w:hAnsiTheme="minorEastAsia"/>
        </w:rPr>
        <w:t>★</w:t>
      </w:r>
      <w:r>
        <w:rPr>
          <w:rFonts w:hint="eastAsia"/>
        </w:rPr>
        <w:t>附件6：</w:t>
      </w:r>
      <w:r>
        <w:rPr>
          <w:rFonts w:hint="eastAsia" w:ascii="宋体" w:hAnsi="宋体"/>
          <w:bCs/>
          <w:sz w:val="24"/>
        </w:rPr>
        <w:t>人性化艺术门：人性化艺术门采用G型隐藏式通体拉手，拉手与门板为一整体，通过智能3D设备一次成型。使不同身高的人可以在门板G型隐藏式通体拉手任意高度将门拉开。拉手处通过R2.5圆弧过渡，不伤手、不割手，线条优美、美观别致、安全可靠、手感舒适、使用方便。</w:t>
      </w:r>
    </w:p>
    <w:p>
      <w:pPr>
        <w:jc w:val="center"/>
        <w:rPr>
          <w:rFonts w:ascii="楷体_GB2312" w:eastAsia="楷体_GB2312"/>
          <w:sz w:val="28"/>
          <w:szCs w:val="28"/>
        </w:rPr>
      </w:pPr>
      <w:r>
        <w:rPr>
          <w:rFonts w:hint="eastAsia" w:ascii="楷体_GB2312" w:eastAsia="楷体_GB2312"/>
          <w:sz w:val="28"/>
          <w:szCs w:val="28"/>
        </w:rPr>
        <w:drawing>
          <wp:inline distT="0" distB="0" distL="0" distR="0">
            <wp:extent cx="4038600" cy="1289685"/>
            <wp:effectExtent l="19050" t="0" r="0" b="0"/>
            <wp:docPr id="9" name="图片 9" descr="A2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A2B.tmp"/>
                    <pic:cNvPicPr>
                      <a:picLocks noChangeAspect="1" noChangeArrowheads="1"/>
                    </pic:cNvPicPr>
                  </pic:nvPicPr>
                  <pic:blipFill>
                    <a:blip r:embed="rId12" cstate="print">
                      <a:duotone>
                        <a:prstClr val="black"/>
                        <a:srgbClr val="D9C3A5">
                          <a:tint val="50000"/>
                          <a:satMod val="180000"/>
                        </a:srgbClr>
                      </a:duotone>
                    </a:blip>
                    <a:srcRect/>
                    <a:stretch>
                      <a:fillRect/>
                    </a:stretch>
                  </pic:blipFill>
                  <pic:spPr>
                    <a:xfrm>
                      <a:off x="0" y="0"/>
                      <a:ext cx="4038600" cy="1290311"/>
                    </a:xfrm>
                    <a:prstGeom prst="rect">
                      <a:avLst/>
                    </a:prstGeom>
                    <a:noFill/>
                    <a:ln w="9525">
                      <a:noFill/>
                      <a:miter lim="800000"/>
                      <a:headEnd/>
                      <a:tailEnd/>
                    </a:ln>
                    <a:effectLst/>
                  </pic:spPr>
                </pic:pic>
              </a:graphicData>
            </a:graphic>
          </wp:inline>
        </w:drawing>
      </w:r>
    </w:p>
    <w:p>
      <w:pPr>
        <w:spacing w:line="360" w:lineRule="auto"/>
        <w:rPr>
          <w:b/>
          <w:bCs/>
          <w:sz w:val="28"/>
          <w:szCs w:val="28"/>
        </w:rPr>
      </w:pPr>
    </w:p>
    <w:p>
      <w:pPr>
        <w:spacing w:line="360" w:lineRule="auto"/>
        <w:jc w:val="center"/>
        <w:rPr>
          <w:b/>
          <w:bCs/>
          <w:sz w:val="28"/>
          <w:szCs w:val="28"/>
        </w:rPr>
      </w:pPr>
      <w:r>
        <w:rPr>
          <w:rFonts w:hint="eastAsia"/>
          <w:b/>
          <w:bCs/>
          <w:sz w:val="28"/>
          <w:szCs w:val="28"/>
        </w:rPr>
        <w:t>评分标准</w:t>
      </w:r>
    </w:p>
    <w:p>
      <w:pPr>
        <w:numPr>
          <w:ilvl w:val="0"/>
          <w:numId w:val="2"/>
        </w:numPr>
        <w:spacing w:line="360" w:lineRule="auto"/>
        <w:rPr>
          <w:rFonts w:ascii="宋体" w:hAnsi="宋体" w:cs="宋体"/>
          <w:b/>
          <w:color w:val="000000"/>
          <w:sz w:val="24"/>
        </w:rPr>
      </w:pPr>
      <w:r>
        <w:rPr>
          <w:rFonts w:hint="eastAsia" w:ascii="宋体" w:hAnsi="宋体" w:cs="宋体"/>
          <w:b/>
          <w:color w:val="000000"/>
          <w:sz w:val="24"/>
        </w:rPr>
        <w:t>评审分值分配（满分100分）</w:t>
      </w:r>
    </w:p>
    <w:p>
      <w:pPr>
        <w:spacing w:line="360" w:lineRule="auto"/>
        <w:rPr>
          <w:rFonts w:ascii="宋体" w:hAnsi="宋体" w:cs="宋体"/>
          <w:color w:val="000000"/>
          <w:sz w:val="24"/>
        </w:rPr>
      </w:pPr>
      <w:r>
        <w:rPr>
          <w:rFonts w:hint="eastAsia" w:ascii="宋体" w:hAnsi="宋体" w:cs="宋体"/>
          <w:color w:val="000000"/>
          <w:sz w:val="24"/>
        </w:rPr>
        <w:t>（1）价格分（30分）</w:t>
      </w:r>
    </w:p>
    <w:p>
      <w:pPr>
        <w:spacing w:line="360" w:lineRule="auto"/>
        <w:rPr>
          <w:rFonts w:ascii="宋体" w:hAnsi="宋体" w:cs="宋体"/>
          <w:color w:val="000000"/>
          <w:sz w:val="24"/>
        </w:rPr>
      </w:pPr>
      <w:r>
        <w:rPr>
          <w:rFonts w:hint="eastAsia" w:ascii="宋体" w:hAnsi="宋体" w:cs="宋体"/>
          <w:color w:val="000000"/>
          <w:sz w:val="24"/>
        </w:rPr>
        <w:t>（2）技术分（45分）</w:t>
      </w:r>
    </w:p>
    <w:p>
      <w:pPr>
        <w:spacing w:line="360" w:lineRule="auto"/>
        <w:rPr>
          <w:rFonts w:ascii="宋体" w:hAnsi="宋体" w:cs="宋体"/>
          <w:b/>
          <w:color w:val="000000"/>
          <w:sz w:val="24"/>
        </w:rPr>
      </w:pPr>
      <w:r>
        <w:rPr>
          <w:rFonts w:hint="eastAsia" w:ascii="宋体" w:hAnsi="宋体" w:cs="宋体"/>
          <w:color w:val="000000"/>
          <w:sz w:val="24"/>
        </w:rPr>
        <w:t>（3）商务分（25分）</w:t>
      </w:r>
    </w:p>
    <w:p>
      <w:pPr>
        <w:spacing w:beforeLines="100"/>
        <w:ind w:firstLine="700" w:firstLineChars="250"/>
        <w:rPr>
          <w:rFonts w:ascii="宋体" w:hAnsi="宋体"/>
          <w:color w:val="000000"/>
          <w:sz w:val="28"/>
          <w:szCs w:val="28"/>
        </w:rPr>
      </w:pPr>
      <w:r>
        <w:rPr>
          <w:rFonts w:hint="eastAsia" w:ascii="宋体" w:hAnsi="宋体"/>
          <w:color w:val="000000"/>
          <w:sz w:val="28"/>
          <w:szCs w:val="28"/>
        </w:rPr>
        <w:t>本项目采用综合评分法，评分细则如下：</w:t>
      </w:r>
    </w:p>
    <w:tbl>
      <w:tblPr>
        <w:tblStyle w:val="7"/>
        <w:tblW w:w="94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3"/>
        <w:gridCol w:w="1526"/>
        <w:gridCol w:w="887"/>
        <w:gridCol w:w="4806"/>
        <w:gridCol w:w="14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63"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序号</w:t>
            </w:r>
          </w:p>
        </w:tc>
        <w:tc>
          <w:tcPr>
            <w:tcW w:w="1526"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评分因素及权重</w:t>
            </w:r>
          </w:p>
        </w:tc>
        <w:tc>
          <w:tcPr>
            <w:tcW w:w="887"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分值</w:t>
            </w:r>
          </w:p>
        </w:tc>
        <w:tc>
          <w:tcPr>
            <w:tcW w:w="4806"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评分标准</w:t>
            </w:r>
          </w:p>
        </w:tc>
        <w:tc>
          <w:tcPr>
            <w:tcW w:w="1444"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0" w:hRule="atLeast"/>
          <w:jc w:val="center"/>
        </w:trPr>
        <w:tc>
          <w:tcPr>
            <w:tcW w:w="763" w:type="dxa"/>
            <w:shd w:val="clear" w:color="auto" w:fill="auto"/>
            <w:vAlign w:val="center"/>
          </w:tcPr>
          <w:p>
            <w:pPr>
              <w:jc w:val="center"/>
              <w:rPr>
                <w:rFonts w:ascii="宋体" w:hAnsi="宋体" w:cs="宋体"/>
                <w:color w:val="000000"/>
              </w:rPr>
            </w:pPr>
            <w:r>
              <w:rPr>
                <w:rFonts w:hint="eastAsia" w:ascii="宋体" w:hAnsi="宋体" w:cs="宋体"/>
                <w:color w:val="000000"/>
              </w:rPr>
              <w:t>1</w:t>
            </w:r>
          </w:p>
        </w:tc>
        <w:tc>
          <w:tcPr>
            <w:tcW w:w="1526" w:type="dxa"/>
            <w:shd w:val="clear" w:color="auto" w:fill="auto"/>
            <w:vAlign w:val="center"/>
          </w:tcPr>
          <w:p>
            <w:pPr>
              <w:jc w:val="center"/>
              <w:rPr>
                <w:rFonts w:ascii="宋体" w:hAnsi="宋体" w:cs="宋体"/>
                <w:color w:val="000000"/>
              </w:rPr>
            </w:pPr>
            <w:r>
              <w:rPr>
                <w:rFonts w:hint="eastAsia" w:ascii="宋体" w:hAnsi="宋体" w:cs="宋体"/>
                <w:color w:val="000000"/>
              </w:rPr>
              <w:t>投标报价（30%）</w:t>
            </w:r>
          </w:p>
        </w:tc>
        <w:tc>
          <w:tcPr>
            <w:tcW w:w="887" w:type="dxa"/>
            <w:shd w:val="clear" w:color="auto" w:fill="auto"/>
            <w:vAlign w:val="center"/>
          </w:tcPr>
          <w:p>
            <w:pPr>
              <w:jc w:val="center"/>
              <w:rPr>
                <w:rFonts w:ascii="宋体" w:hAnsi="宋体" w:cs="宋体"/>
                <w:color w:val="000000"/>
              </w:rPr>
            </w:pPr>
            <w:r>
              <w:rPr>
                <w:rFonts w:hint="eastAsia" w:ascii="宋体" w:hAnsi="宋体" w:cs="宋体"/>
                <w:color w:val="000000"/>
              </w:rPr>
              <w:t>30分</w:t>
            </w:r>
          </w:p>
        </w:tc>
        <w:tc>
          <w:tcPr>
            <w:tcW w:w="4806" w:type="dxa"/>
            <w:shd w:val="clear" w:color="auto" w:fill="auto"/>
            <w:vAlign w:val="center"/>
          </w:tcPr>
          <w:p>
            <w:pPr>
              <w:adjustRightInd w:val="0"/>
              <w:snapToGrid w:val="0"/>
              <w:spacing w:beforeLines="20" w:afterLines="20" w:line="360" w:lineRule="exact"/>
              <w:rPr>
                <w:szCs w:val="21"/>
              </w:rPr>
            </w:pPr>
            <w:r>
              <w:rPr>
                <w:rFonts w:hint="eastAsia"/>
                <w:szCs w:val="21"/>
              </w:rPr>
              <w:t>报价等于评标基准价的得满分30分。评标基准价=所有有效报价的算术平均值。当有效报价超过五家(不含五家)时，去掉一个最高价和最低价进行算术平值计算。（此处最高价和最低价并不是废标处理）。</w:t>
            </w:r>
          </w:p>
          <w:p>
            <w:pPr>
              <w:jc w:val="center"/>
              <w:rPr>
                <w:rFonts w:ascii="宋体" w:hAnsi="宋体" w:cs="宋体"/>
                <w:color w:val="000000"/>
              </w:rPr>
            </w:pPr>
            <w:r>
              <w:rPr>
                <w:rFonts w:hint="eastAsia"/>
                <w:szCs w:val="21"/>
              </w:rPr>
              <w:t>投标报价得分=（基准价/投标报价）×30%</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对小微企业的投标价格（如涉及）给予10%的扣除，用扣除后的价格参与评审；监狱企业视同为小型、微型企业享受10%的价格扣除。中小企业须提供《中小企业声明函》。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1" w:hRule="atLeast"/>
          <w:jc w:val="center"/>
        </w:trPr>
        <w:tc>
          <w:tcPr>
            <w:tcW w:w="763"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2</w:t>
            </w:r>
          </w:p>
        </w:tc>
        <w:tc>
          <w:tcPr>
            <w:tcW w:w="1526"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技术部分45%</w:t>
            </w:r>
          </w:p>
        </w:tc>
        <w:tc>
          <w:tcPr>
            <w:tcW w:w="887"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45分</w:t>
            </w:r>
          </w:p>
        </w:tc>
        <w:tc>
          <w:tcPr>
            <w:tcW w:w="4806" w:type="dxa"/>
            <w:shd w:val="clear" w:color="auto" w:fill="auto"/>
            <w:vAlign w:val="center"/>
          </w:tcPr>
          <w:p>
            <w:pPr>
              <w:rPr>
                <w:rFonts w:ascii="宋体" w:hAnsi="宋体" w:cs="宋体"/>
                <w:color w:val="000000"/>
              </w:rPr>
            </w:pPr>
            <w:r>
              <w:rPr>
                <w:rFonts w:hint="eastAsia" w:ascii="宋体" w:hAnsi="宋体" w:cs="宋体"/>
                <w:color w:val="000000"/>
              </w:rPr>
              <w:t>1.起评分：有效投标人的起评分为15分。</w:t>
            </w:r>
            <w:r>
              <w:rPr>
                <w:rFonts w:hint="eastAsia" w:ascii="宋体" w:hAnsi="宋体" w:cs="宋体"/>
                <w:color w:val="000000"/>
              </w:rPr>
              <w:br w:type="textWrapping"/>
            </w:r>
            <w:r>
              <w:rPr>
                <w:rFonts w:hint="eastAsia" w:ascii="宋体" w:hAnsi="宋体" w:cs="宋体"/>
                <w:color w:val="000000"/>
              </w:rPr>
              <w:t>2.扣分条款：</w:t>
            </w:r>
            <w:r>
              <w:rPr>
                <w:rFonts w:hint="eastAsia" w:ascii="宋体" w:hAnsi="宋体" w:cs="宋体"/>
                <w:color w:val="000000"/>
              </w:rPr>
              <w:br w:type="textWrapping"/>
            </w:r>
            <w:r>
              <w:rPr>
                <w:rFonts w:hint="eastAsia" w:ascii="宋体" w:hAnsi="宋体" w:cs="宋体"/>
                <w:color w:val="000000"/>
              </w:rPr>
              <w:t>（2.1）重要技术参数【本招标文件中（</w:t>
            </w:r>
            <w:r>
              <w:rPr>
                <w:rFonts w:hint="eastAsia" w:cs="宋体" w:asciiTheme="minorEastAsia" w:hAnsiTheme="minorEastAsia"/>
                <w:color w:val="000000"/>
              </w:rPr>
              <w:t>★</w:t>
            </w:r>
            <w:r>
              <w:rPr>
                <w:rFonts w:hint="eastAsia" w:ascii="宋体" w:hAnsi="宋体" w:cs="宋体"/>
                <w:color w:val="000000"/>
              </w:rPr>
              <w:t>）号标注的部分】，有一条不满足，技术部分得0分。</w:t>
            </w:r>
            <w:r>
              <w:rPr>
                <w:rFonts w:hint="eastAsia" w:ascii="宋体" w:hAnsi="宋体" w:cs="宋体"/>
                <w:color w:val="000000"/>
              </w:rPr>
              <w:br w:type="textWrapping"/>
            </w:r>
            <w:r>
              <w:rPr>
                <w:rFonts w:hint="eastAsia" w:ascii="宋体" w:hAnsi="宋体" w:cs="宋体"/>
                <w:color w:val="000000"/>
              </w:rPr>
              <w:t>（2.2）一般性技术参数【本招标文件中（</w:t>
            </w:r>
            <w:r>
              <w:rPr>
                <w:rFonts w:hint="eastAsia" w:cs="宋体" w:asciiTheme="minorEastAsia" w:hAnsiTheme="minorEastAsia"/>
                <w:color w:val="000000"/>
              </w:rPr>
              <w:t>★</w:t>
            </w:r>
            <w:r>
              <w:rPr>
                <w:rFonts w:hint="eastAsia" w:ascii="宋体" w:hAnsi="宋体" w:cs="宋体"/>
                <w:color w:val="000000"/>
              </w:rPr>
              <w:t>）号标注的部分除外】达不到招标文件要求的，有一条不满足扣2分，有两条不满足扣4分，三条及以上技术部分为0分。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未按项目技术规格、数量及质量要求中样式、规格、数量、技术参数及要求提供技术部分也不得分。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5"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rPr>
                <w:rFonts w:ascii="宋体" w:hAnsi="宋体" w:cs="宋体"/>
                <w:color w:val="000000"/>
              </w:rPr>
            </w:pPr>
            <w:r>
              <w:rPr>
                <w:rFonts w:hint="eastAsia" w:ascii="宋体" w:hAnsi="宋体" w:cs="宋体"/>
                <w:color w:val="000000"/>
              </w:rPr>
              <w:t>3、投标人提供该标的物部件之立柱检测报告，检测内容按GB6675.4-2014，GB T228.1-2010，GB/T20123-2006，GB/T223-2008，GB/T11170-2008检测；1）可溶性金属铅、钡、锑、镉、汞、砷、硒可溶性金属含量，抽样检测合格。2）力学性能：抗拉强度≥270，断断后伸长率A50.%≥38，抽样检测合格。3）化学成分：C，%≤0.15；S，%≤0.025；Mn，%≤0.60；P，%≤0.035抽样检测合格。三项全部合格得3分，有1项不合格，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提供2018年1月1日至开标公示当日前的检测报告复印件并加盖投标人公章。（报告原件现场查验）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4"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4、投标人提供该标的物部件之层板检测报告，检测内容按GB6675.4-2014，GB T228.1-2010，GB/T20123-2006，GB/T223-2008，GB/T11170-2008检测；1）可溶性金属铅、钡、锑、镉、汞、砷、硒可溶性金属含量，抽样检测合格。2）力学性能：抗拉强度≥270，断断后伸长率A50.%≥38，抽样检测合格。3）化学成分：C，%≤0.15；S，%≤0.025；Mn，%≤0.60；P，%≤0.035抽样检测合格。三项全部合格得3分，有1项不合格，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提供2018年1月1日至开标公示当日前的检测报告复印件并加盖投标人公章。（报告原件现场查验）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3"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5、投标人提供该标的物部件之侧板检测报告，检测内容按GB6675.4-2014，GB T228.1-2010，GB/T20123-2006，GB/T223-2008，GB/T11170-2008检测；1）可溶性金属铅、钡、锑、镉、汞、砷、硒可溶性金属含量，抽样检测合格。2）力学性能：抗拉强度≥270，断断后伸长率A50.%≥38，抽样检测合格。3）化学成分：C，%≤0.15；S，%≤0.025；Mn，%≤0.60；P，%≤0.035抽样检测合格。三项全部合格得3分，有1项不合格，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提供2018年1月1日至开标公示当日前的检测报告复印件并加盖投标人公章。（报告原件现场查验）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5"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6.投标人提供连续两年省级或省级以上质检部门出具的冷轧钢板涂层检测报告（耐酸性（3%HCL）≥240h,耐湿热性≥500h，耐盐雾性≥500h，附着力≥1级，涂膜外观正常，硬度≥H级）得2分，没有不得分（投标人提供复印件加盖公章，提供网上查询截图）</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8"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rPr>
                <w:rFonts w:ascii="宋体" w:hAnsi="宋体" w:cs="宋体"/>
                <w:color w:val="000000"/>
                <w:szCs w:val="21"/>
              </w:rPr>
            </w:pPr>
            <w:r>
              <w:rPr>
                <w:rFonts w:hint="eastAsia" w:ascii="宋体" w:hAnsi="宋体" w:cs="宋体"/>
                <w:color w:val="000000"/>
                <w:szCs w:val="21"/>
              </w:rPr>
              <w:t>7、投标人提供权威抗菌材料检测机构出具的金属表面纳米抗菌静电喷涂膜检测报告：检测项目大肠杆菌、金黄色葡萄球菌、克雷伯氏肺炎菌，三项抗细菌率＞99.9%以上得2分，没有或不符合的不得分（投标人提供复印件加盖公章）。</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4"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8、投标人需提供省级或省级以上的微生物检测机构出具的金属表面防霉静电喷涂检测报告，检测项目防霉等级为0级，阴性对照为0级，阳性对照为2级，符合标准的得3分，没有不得分。（投标人提供彩色复印件并加盖公章。）</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rPr>
                <w:rFonts w:ascii="宋体" w:hAnsi="宋体" w:cs="宋体"/>
                <w:color w:val="000000"/>
              </w:rPr>
            </w:pPr>
            <w:r>
              <w:rPr>
                <w:rFonts w:hint="eastAsia" w:ascii="宋体" w:hAnsi="宋体" w:cs="宋体"/>
                <w:color w:val="000000"/>
              </w:rPr>
              <w:t>参照招标文件要求比照投标文件技术部分要求产品设计外观、产品质量、技术参数、服务等进行评比，优秀得15分，良好得10分，一般得5分。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投标人密集架技术参数未响应带</w:t>
            </w:r>
            <w:r>
              <w:rPr>
                <w:rFonts w:hint="eastAsia" w:cs="宋体" w:asciiTheme="minorEastAsia" w:hAnsiTheme="minorEastAsia"/>
                <w:color w:val="000000"/>
              </w:rPr>
              <w:t>★</w:t>
            </w:r>
            <w:r>
              <w:rPr>
                <w:rFonts w:hint="eastAsia" w:ascii="宋体" w:hAnsi="宋体" w:cs="宋体"/>
                <w:color w:val="000000"/>
              </w:rPr>
              <w:t>号条款技术参数的，技术部分为0分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jc w:val="center"/>
        </w:trPr>
        <w:tc>
          <w:tcPr>
            <w:tcW w:w="763"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3</w:t>
            </w:r>
          </w:p>
        </w:tc>
        <w:tc>
          <w:tcPr>
            <w:tcW w:w="1526"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商务部分（25%）</w:t>
            </w:r>
          </w:p>
        </w:tc>
        <w:tc>
          <w:tcPr>
            <w:tcW w:w="887"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25分</w:t>
            </w: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评委根据各投标人货物的设计美观性、合理性、舒适性等进行横向比较，投标人具备金属制品设计资格的得4分，没有金属制品设计的不得分，以营业执照营业范围为准。（开标时提供原件得分、没有不得分）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综合能力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投标人提供2015年以来和本招标项目相类似产品的业绩合同，单项合同金额大于100万元以上的得1分，必须真实有效（提供合同原件得分），最多5分。不重复计分。提供不全或不提供不得分。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综合业绩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6"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1.） 投标人获得《全国售后服务十佳单位》得3分，提供原件、没有不得分。</w:t>
            </w:r>
            <w:r>
              <w:rPr>
                <w:rFonts w:hint="eastAsia" w:ascii="宋体" w:hAnsi="宋体" w:cs="宋体"/>
                <w:color w:val="000000"/>
              </w:rPr>
              <w:br w:type="textWrapping"/>
            </w:r>
            <w:r>
              <w:rPr>
                <w:rFonts w:hint="eastAsia" w:ascii="宋体" w:hAnsi="宋体" w:cs="宋体"/>
                <w:color w:val="000000"/>
              </w:rPr>
              <w:t>2.）投标人获得5星级《售后服务认证证书》的得3分。提供原件得分、其他不得分。。</w:t>
            </w:r>
            <w:r>
              <w:rPr>
                <w:rFonts w:hint="eastAsia" w:ascii="宋体" w:hAnsi="宋体" w:cs="宋体"/>
                <w:color w:val="000000"/>
              </w:rPr>
              <w:br w:type="textWrapping"/>
            </w:r>
            <w:r>
              <w:rPr>
                <w:rFonts w:hint="eastAsia" w:ascii="宋体" w:hAnsi="宋体" w:cs="宋体"/>
                <w:color w:val="000000"/>
              </w:rPr>
              <w:t>（如评委要求提供原件审查的情况下，投标人不能及时提供的，视为投标人未按规定提供相关证明材料。）</w:t>
            </w:r>
          </w:p>
        </w:tc>
        <w:tc>
          <w:tcPr>
            <w:tcW w:w="1444"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售后服务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3 .投标单位拥有2名售后服务高级管理师得 4 分。拥有1名售后服务高级管理师得2 分。没有不得分。</w:t>
            </w:r>
            <w:r>
              <w:rPr>
                <w:rFonts w:hint="eastAsia" w:ascii="宋体" w:hAnsi="宋体" w:cs="宋体"/>
                <w:color w:val="000000"/>
              </w:rPr>
              <w:br w:type="textWrapping"/>
            </w:r>
            <w:r>
              <w:rPr>
                <w:rFonts w:hint="eastAsia" w:ascii="宋体" w:hAnsi="宋体" w:cs="宋体"/>
                <w:color w:val="000000"/>
              </w:rPr>
              <w:t xml:space="preserve">注：提供售后服务高级管理师证书、投标单位与该人员签订的劳动合同、近1年社保有效。（未按要求提供的不得分） </w:t>
            </w:r>
          </w:p>
        </w:tc>
        <w:tc>
          <w:tcPr>
            <w:tcW w:w="1444" w:type="dxa"/>
            <w:vMerge w:val="continue"/>
            <w:vAlign w:val="center"/>
          </w:tcPr>
          <w:p>
            <w:pPr>
              <w:rPr>
                <w:rFonts w:ascii="宋体" w:hAnsi="宋体" w:cs="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投标人连续5年获得国家工商行政总局《守合同重信用》企业公示单位的（得3分），没有不得分。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信用评价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投标人获得省级质量技术监督局颁发的《质量管理先进企业》的得3分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产品质量</w:t>
            </w:r>
          </w:p>
        </w:tc>
      </w:tr>
    </w:tbl>
    <w:p>
      <w:pPr>
        <w:pStyle w:val="2"/>
        <w:rPr>
          <w:sz w:val="32"/>
          <w:szCs w:val="40"/>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Arial">
    <w:panose1 w:val="020B0604020202020204"/>
    <w:charset w:val="00"/>
    <w:family w:val="swiss"/>
    <w:pitch w:val="default"/>
    <w:sig w:usb0="E0002AFF" w:usb1="C0007843" w:usb2="00000009" w:usb3="00000000" w:csb0="400001FF" w:csb1="FFFF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601760"/>
      <w:docPartObj>
        <w:docPartGallery w:val="AutoText"/>
      </w:docPartObj>
    </w:sdtPr>
    <w:sdtEndPr>
      <w:rPr>
        <w:b/>
      </w:rPr>
    </w:sdtEndPr>
    <w:sdtContent>
      <w:sdt>
        <w:sdtPr>
          <w:id w:val="171357217"/>
          <w:docPartObj>
            <w:docPartGallery w:val="AutoText"/>
          </w:docPartObj>
        </w:sdtPr>
        <w:sdtEndPr>
          <w:rPr>
            <w:b/>
            <w:sz w:val="20"/>
          </w:rPr>
        </w:sdtEndPr>
        <w:sdtContent>
          <w:p>
            <w:pPr>
              <w:pStyle w:val="5"/>
              <w:jc w:val="center"/>
              <w:rPr>
                <w:b/>
              </w:rPr>
            </w:pPr>
            <w:r>
              <w:rPr>
                <w:b/>
                <w:sz w:val="20"/>
                <w:lang w:val="zh-CN"/>
              </w:rPr>
              <w:t xml:space="preserve"> </w:t>
            </w:r>
            <w:r>
              <w:rPr>
                <w:b/>
                <w:sz w:val="28"/>
                <w:szCs w:val="24"/>
              </w:rPr>
              <w:fldChar w:fldCharType="begin"/>
            </w:r>
            <w:r>
              <w:rPr>
                <w:b/>
                <w:sz w:val="20"/>
              </w:rPr>
              <w:instrText xml:space="preserve">PAGE</w:instrText>
            </w:r>
            <w:r>
              <w:rPr>
                <w:b/>
                <w:sz w:val="28"/>
                <w:szCs w:val="24"/>
              </w:rPr>
              <w:fldChar w:fldCharType="separate"/>
            </w:r>
            <w:r>
              <w:rPr>
                <w:b/>
                <w:sz w:val="20"/>
              </w:rPr>
              <w:t>1</w:t>
            </w:r>
            <w:r>
              <w:rPr>
                <w:b/>
                <w:sz w:val="28"/>
                <w:szCs w:val="24"/>
              </w:rPr>
              <w:fldChar w:fldCharType="end"/>
            </w:r>
            <w:r>
              <w:rPr>
                <w:b/>
                <w:sz w:val="20"/>
                <w:lang w:val="zh-CN"/>
              </w:rPr>
              <w:t xml:space="preserve"> / </w:t>
            </w:r>
            <w:r>
              <w:rPr>
                <w:b/>
                <w:sz w:val="28"/>
                <w:szCs w:val="24"/>
              </w:rPr>
              <w:fldChar w:fldCharType="begin"/>
            </w:r>
            <w:r>
              <w:rPr>
                <w:b/>
                <w:sz w:val="20"/>
              </w:rPr>
              <w:instrText xml:space="preserve">NUMPAGES</w:instrText>
            </w:r>
            <w:r>
              <w:rPr>
                <w:b/>
                <w:sz w:val="28"/>
                <w:szCs w:val="24"/>
              </w:rPr>
              <w:fldChar w:fldCharType="separate"/>
            </w:r>
            <w:r>
              <w:rPr>
                <w:b/>
                <w:sz w:val="20"/>
              </w:rPr>
              <w:t>12</w:t>
            </w:r>
            <w:r>
              <w:rPr>
                <w:b/>
                <w:sz w:val="28"/>
                <w:szCs w:val="24"/>
              </w:rPr>
              <w:fldChar w:fldCharType="end"/>
            </w:r>
          </w:p>
        </w:sdtContent>
      </w:sdt>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777F0A"/>
    <w:multiLevelType w:val="singleLevel"/>
    <w:tmpl w:val="AA777F0A"/>
    <w:lvl w:ilvl="0" w:tentative="0">
      <w:start w:val="1"/>
      <w:numFmt w:val="decimal"/>
      <w:suff w:val="nothing"/>
      <w:lvlText w:val="%1、"/>
      <w:lvlJc w:val="left"/>
    </w:lvl>
  </w:abstractNum>
  <w:abstractNum w:abstractNumId="1">
    <w:nsid w:val="41355604"/>
    <w:multiLevelType w:val="multilevel"/>
    <w:tmpl w:val="41355604"/>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DD556C"/>
    <w:rsid w:val="000E79F3"/>
    <w:rsid w:val="00130E83"/>
    <w:rsid w:val="00143EBE"/>
    <w:rsid w:val="00153AC4"/>
    <w:rsid w:val="001A6E6A"/>
    <w:rsid w:val="001A7DCF"/>
    <w:rsid w:val="00202876"/>
    <w:rsid w:val="00326AC8"/>
    <w:rsid w:val="00347A31"/>
    <w:rsid w:val="00360714"/>
    <w:rsid w:val="003B065B"/>
    <w:rsid w:val="00483F4C"/>
    <w:rsid w:val="00522464"/>
    <w:rsid w:val="00770047"/>
    <w:rsid w:val="00840A18"/>
    <w:rsid w:val="0088518D"/>
    <w:rsid w:val="00A43E69"/>
    <w:rsid w:val="00A90D9A"/>
    <w:rsid w:val="00B3485B"/>
    <w:rsid w:val="00B56320"/>
    <w:rsid w:val="00C25EC9"/>
    <w:rsid w:val="00C6081F"/>
    <w:rsid w:val="00C84529"/>
    <w:rsid w:val="00D43CEE"/>
    <w:rsid w:val="00DA1458"/>
    <w:rsid w:val="00DD779A"/>
    <w:rsid w:val="00DF430D"/>
    <w:rsid w:val="00E10258"/>
    <w:rsid w:val="00F902FE"/>
    <w:rsid w:val="00FD6F21"/>
    <w:rsid w:val="00FE1F4B"/>
    <w:rsid w:val="00FF5CF8"/>
    <w:rsid w:val="0D926DE8"/>
    <w:rsid w:val="0D9B129B"/>
    <w:rsid w:val="104549A4"/>
    <w:rsid w:val="23C551EB"/>
    <w:rsid w:val="24115B3D"/>
    <w:rsid w:val="280D6A24"/>
    <w:rsid w:val="30211B1C"/>
    <w:rsid w:val="31043B6E"/>
    <w:rsid w:val="48DD556C"/>
    <w:rsid w:val="534902F2"/>
    <w:rsid w:val="61257265"/>
    <w:rsid w:val="61D12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3">
    <w:name w:val="Document Map"/>
    <w:basedOn w:val="1"/>
    <w:link w:val="12"/>
    <w:qFormat/>
    <w:uiPriority w:val="0"/>
    <w:rPr>
      <w:rFonts w:ascii="宋体" w:eastAsia="宋体"/>
      <w:sz w:val="18"/>
      <w:szCs w:val="18"/>
    </w:rPr>
  </w:style>
  <w:style w:type="paragraph" w:styleId="4">
    <w:name w:val="Balloon Text"/>
    <w:basedOn w:val="1"/>
    <w:link w:val="11"/>
    <w:qFormat/>
    <w:uiPriority w:val="0"/>
    <w:rPr>
      <w:sz w:val="18"/>
      <w:szCs w:val="18"/>
    </w:rPr>
  </w:style>
  <w:style w:type="paragraph" w:styleId="5">
    <w:name w:val="footer"/>
    <w:basedOn w:val="1"/>
    <w:link w:val="14"/>
    <w:qFormat/>
    <w:uiPriority w:val="99"/>
    <w:pPr>
      <w:tabs>
        <w:tab w:val="center" w:pos="4153"/>
        <w:tab w:val="right" w:pos="8306"/>
      </w:tabs>
      <w:snapToGrid w:val="0"/>
      <w:jc w:val="left"/>
    </w:pPr>
    <w:rPr>
      <w:sz w:val="18"/>
      <w:szCs w:val="18"/>
    </w:rPr>
  </w:style>
  <w:style w:type="paragraph" w:styleId="6">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0">
    <w:name w:val="样式2"/>
    <w:basedOn w:val="1"/>
    <w:qFormat/>
    <w:uiPriority w:val="0"/>
    <w:rPr>
      <w:rFonts w:ascii="Times New Roman" w:hAnsi="Times New Roman"/>
      <w:sz w:val="28"/>
    </w:rPr>
  </w:style>
  <w:style w:type="character" w:customStyle="1" w:styleId="11">
    <w:name w:val="批注框文本 Char"/>
    <w:basedOn w:val="9"/>
    <w:link w:val="4"/>
    <w:qFormat/>
    <w:uiPriority w:val="0"/>
    <w:rPr>
      <w:rFonts w:asciiTheme="minorHAnsi" w:hAnsiTheme="minorHAnsi" w:eastAsiaTheme="minorEastAsia" w:cstheme="minorBidi"/>
      <w:kern w:val="2"/>
      <w:sz w:val="18"/>
      <w:szCs w:val="18"/>
    </w:rPr>
  </w:style>
  <w:style w:type="character" w:customStyle="1" w:styleId="12">
    <w:name w:val="文档结构图 Char"/>
    <w:basedOn w:val="9"/>
    <w:link w:val="3"/>
    <w:qFormat/>
    <w:uiPriority w:val="0"/>
    <w:rPr>
      <w:rFonts w:ascii="宋体" w:hAnsiTheme="minorHAnsi" w:cstheme="minorBidi"/>
      <w:kern w:val="2"/>
      <w:sz w:val="18"/>
      <w:szCs w:val="18"/>
    </w:rPr>
  </w:style>
  <w:style w:type="character" w:customStyle="1" w:styleId="13">
    <w:name w:val="页眉 Char"/>
    <w:basedOn w:val="9"/>
    <w:link w:val="6"/>
    <w:qFormat/>
    <w:uiPriority w:val="0"/>
    <w:rPr>
      <w:rFonts w:asciiTheme="minorHAnsi" w:hAnsiTheme="minorHAnsi" w:eastAsiaTheme="minorEastAsia" w:cstheme="minorBidi"/>
      <w:kern w:val="2"/>
      <w:sz w:val="18"/>
      <w:szCs w:val="18"/>
    </w:rPr>
  </w:style>
  <w:style w:type="character" w:customStyle="1" w:styleId="14">
    <w:name w:val="页脚 Char"/>
    <w:basedOn w:val="9"/>
    <w:link w:val="5"/>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jpeg"/><Relationship Id="rId7" Type="http://schemas.openxmlformats.org/officeDocument/2006/relationships/image" Target="media/image3.pn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1032</Words>
  <Characters>5889</Characters>
  <Lines>49</Lines>
  <Paragraphs>13</Paragraphs>
  <TotalTime>0</TotalTime>
  <ScaleCrop>false</ScaleCrop>
  <LinksUpToDate>false</LinksUpToDate>
  <CharactersWithSpaces>6908</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2020-11-02T06:28:00Z</dcterms:created>
  <dc:creator>小林</dc:creator>
  <cp:lastModifiedBy>王倩</cp:lastModifiedBy>
  <dcterms:modified xsi:type="dcterms:W3CDTF">2020-12-04T09:01:33Z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