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center"/>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val="en-US" w:eastAsia="zh-CN"/>
        </w:rPr>
        <w:t>湛江中心人民医院感染科独立中央负压系统项目需求书</w:t>
      </w:r>
    </w:p>
    <w:p>
      <w:pPr>
        <w:keepNext w:val="0"/>
        <w:keepLines w:val="0"/>
        <w:pageBreakBefore w:val="0"/>
        <w:kinsoku/>
        <w:overflowPunct/>
        <w:topLinePunct w:val="0"/>
        <w:bidi w:val="0"/>
        <w:adjustRightInd/>
        <w:snapToGrid/>
        <w:spacing w:line="400" w:lineRule="exact"/>
        <w:jc w:val="left"/>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一、项目概述</w:t>
      </w:r>
    </w:p>
    <w:p>
      <w:pPr>
        <w:keepNext w:val="0"/>
        <w:keepLines w:val="0"/>
        <w:pageBreakBefore w:val="0"/>
        <w:kinsoku/>
        <w:overflowPunct/>
        <w:topLinePunct w:val="0"/>
        <w:bidi w:val="0"/>
        <w:adjustRightInd/>
        <w:snapToGrid/>
        <w:spacing w:line="400" w:lineRule="exact"/>
        <w:ind w:firstLine="480" w:firstLineChars="200"/>
        <w:jc w:val="left"/>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1、项目名称：湛江中心人民医院</w:t>
      </w:r>
      <w:r>
        <w:rPr>
          <w:rFonts w:hint="eastAsia" w:asciiTheme="minorEastAsia" w:hAnsiTheme="minorEastAsia" w:eastAsiaTheme="minorEastAsia" w:cstheme="minorEastAsia"/>
          <w:color w:val="auto"/>
          <w:kern w:val="0"/>
          <w:sz w:val="24"/>
          <w:szCs w:val="24"/>
          <w:lang w:eastAsia="zh-CN"/>
        </w:rPr>
        <w:t>感染科</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p>
    <w:p>
      <w:pPr>
        <w:pStyle w:val="5"/>
        <w:keepNext w:val="0"/>
        <w:keepLines w:val="0"/>
        <w:pageBreakBefore w:val="0"/>
        <w:widowControl/>
        <w:shd w:val="clear" w:color="auto" w:fill="FFFFFF"/>
        <w:kinsoku/>
        <w:wordWrap w:val="0"/>
        <w:overflowPunct/>
        <w:topLinePunct w:val="0"/>
        <w:bidi w:val="0"/>
        <w:adjustRightInd/>
        <w:snapToGrid/>
        <w:spacing w:beforeAutospacing="0" w:afterAutospacing="0" w:line="400" w:lineRule="exact"/>
        <w:ind w:firstLine="480" w:firstLineChars="200"/>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lang w:val="en-US" w:eastAsia="zh-CN"/>
        </w:rPr>
        <w:t>地点：湛江中心人民医院院内</w:t>
      </w:r>
    </w:p>
    <w:p>
      <w:pPr>
        <w:pStyle w:val="5"/>
        <w:keepNext w:val="0"/>
        <w:keepLines w:val="0"/>
        <w:pageBreakBefore w:val="0"/>
        <w:widowControl/>
        <w:shd w:val="clear" w:color="auto" w:fill="FFFFFF"/>
        <w:kinsoku/>
        <w:wordWrap w:val="0"/>
        <w:overflowPunct/>
        <w:topLinePunct w:val="0"/>
        <w:bidi w:val="0"/>
        <w:adjustRightInd/>
        <w:snapToGrid/>
        <w:spacing w:beforeAutospacing="0" w:afterAutospacing="0" w:line="400" w:lineRule="exact"/>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采购总预算：</w:t>
      </w:r>
      <w:r>
        <w:rPr>
          <w:rFonts w:hint="eastAsia" w:asciiTheme="minorEastAsia" w:hAnsiTheme="minorEastAsia" w:cstheme="minorEastAsia"/>
          <w:color w:val="auto"/>
          <w:sz w:val="24"/>
          <w:szCs w:val="24"/>
          <w:lang w:val="en-US" w:eastAsia="zh-CN"/>
        </w:rPr>
        <w:t>38.5</w:t>
      </w:r>
      <w:r>
        <w:rPr>
          <w:rFonts w:hint="eastAsia" w:asciiTheme="minorEastAsia" w:hAnsiTheme="minorEastAsia" w:eastAsiaTheme="minorEastAsia" w:cstheme="minorEastAsia"/>
          <w:color w:val="auto"/>
          <w:sz w:val="24"/>
          <w:szCs w:val="24"/>
        </w:rPr>
        <w:t>万元 ，已包含</w:t>
      </w:r>
      <w:r>
        <w:rPr>
          <w:rFonts w:hint="eastAsia" w:asciiTheme="minorEastAsia" w:hAnsiTheme="minorEastAsia" w:eastAsiaTheme="minorEastAsia" w:cstheme="minorEastAsia"/>
          <w:color w:val="auto"/>
          <w:sz w:val="24"/>
          <w:szCs w:val="24"/>
          <w:lang w:eastAsia="zh-CN"/>
        </w:rPr>
        <w:t>项目建设的设备采购、安装、调试、</w:t>
      </w:r>
      <w:r>
        <w:rPr>
          <w:rFonts w:hint="eastAsia" w:asciiTheme="minorEastAsia" w:hAnsiTheme="minorEastAsia" w:eastAsiaTheme="minorEastAsia" w:cstheme="minorEastAsia"/>
          <w:color w:val="auto"/>
          <w:sz w:val="24"/>
          <w:szCs w:val="24"/>
        </w:rPr>
        <w:t>税金、交通费、运输费、检测费、零配件费、系统设备耗材及维修维保等的</w:t>
      </w:r>
      <w:r>
        <w:rPr>
          <w:rFonts w:hint="eastAsia" w:asciiTheme="minorEastAsia" w:hAnsiTheme="minorEastAsia" w:eastAsiaTheme="minorEastAsia" w:cstheme="minorEastAsia"/>
          <w:color w:val="auto"/>
          <w:sz w:val="24"/>
          <w:szCs w:val="24"/>
          <w:lang w:eastAsia="zh-CN"/>
        </w:rPr>
        <w:t>所有</w:t>
      </w:r>
      <w:r>
        <w:rPr>
          <w:rFonts w:hint="eastAsia" w:asciiTheme="minorEastAsia" w:hAnsiTheme="minorEastAsia" w:eastAsiaTheme="minorEastAsia" w:cstheme="minorEastAsia"/>
          <w:color w:val="auto"/>
          <w:sz w:val="24"/>
          <w:szCs w:val="24"/>
        </w:rPr>
        <w:t>费用。</w:t>
      </w:r>
    </w:p>
    <w:p>
      <w:pPr>
        <w:keepNext w:val="0"/>
        <w:keepLines w:val="0"/>
        <w:pageBreakBefore w:val="0"/>
        <w:kinsoku/>
        <w:overflowPunct/>
        <w:topLinePunct w:val="0"/>
        <w:bidi w:val="0"/>
        <w:adjustRightInd/>
        <w:snapToGrid/>
        <w:spacing w:line="400" w:lineRule="exact"/>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color w:val="auto"/>
          <w:sz w:val="24"/>
          <w:szCs w:val="24"/>
          <w:shd w:val="clear" w:color="auto" w:fill="FFFFFF"/>
        </w:rPr>
        <w:t>二、项目需求：</w:t>
      </w:r>
    </w:p>
    <w:p>
      <w:pPr>
        <w:keepNext w:val="0"/>
        <w:keepLines w:val="0"/>
        <w:pageBreakBefore w:val="0"/>
        <w:numPr>
          <w:ilvl w:val="0"/>
          <w:numId w:val="0"/>
        </w:numPr>
        <w:kinsoku/>
        <w:overflowPunct/>
        <w:topLinePunct w:val="0"/>
        <w:bidi w:val="0"/>
        <w:adjustRightInd/>
        <w:snapToGrid/>
        <w:spacing w:line="400" w:lineRule="exact"/>
        <w:ind w:firstLine="464"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spacing w:val="-4"/>
          <w:sz w:val="24"/>
          <w:szCs w:val="24"/>
          <w:lang w:val="en-US" w:eastAsia="zh-CN"/>
        </w:rPr>
        <w:t>1、</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r>
        <w:rPr>
          <w:rFonts w:hint="eastAsia" w:asciiTheme="minorEastAsia" w:hAnsiTheme="minorEastAsia" w:cstheme="minorEastAsia"/>
          <w:spacing w:val="-4"/>
          <w:sz w:val="24"/>
          <w:szCs w:val="24"/>
          <w:lang w:eastAsia="zh-CN"/>
        </w:rPr>
        <w:t>主要有</w:t>
      </w:r>
      <w:r>
        <w:rPr>
          <w:rFonts w:hint="eastAsia" w:asciiTheme="minorEastAsia" w:hAnsiTheme="minorEastAsia" w:eastAsiaTheme="minorEastAsia" w:cstheme="minorEastAsia"/>
          <w:kern w:val="0"/>
          <w:sz w:val="24"/>
          <w:szCs w:val="24"/>
        </w:rPr>
        <w:t>油</w:t>
      </w:r>
      <w:r>
        <w:rPr>
          <w:rFonts w:hint="eastAsia" w:asciiTheme="minorEastAsia" w:hAnsiTheme="minorEastAsia" w:eastAsiaTheme="minorEastAsia" w:cstheme="minorEastAsia"/>
          <w:sz w:val="24"/>
          <w:szCs w:val="24"/>
        </w:rPr>
        <w:t>环式真空泵</w:t>
      </w:r>
      <w:r>
        <w:rPr>
          <w:rFonts w:hint="eastAsia" w:asciiTheme="minorEastAsia" w:hAnsiTheme="minorEastAsia" w:eastAsiaTheme="minorEastAsia" w:cstheme="minorEastAsia"/>
          <w:sz w:val="24"/>
          <w:szCs w:val="24"/>
          <w:lang w:eastAsia="zh-CN"/>
        </w:rPr>
        <w:t>组</w:t>
      </w:r>
      <w:r>
        <w:rPr>
          <w:rFonts w:hint="eastAsia" w:asciiTheme="minorEastAsia" w:hAnsiTheme="minorEastAsia" w:eastAsiaTheme="minorEastAsia" w:cstheme="minorEastAsia"/>
          <w:sz w:val="24"/>
          <w:szCs w:val="24"/>
        </w:rPr>
        <w:t>、真空缓冲罐、真空电磁阀、紫外线杀菌消毒装置、管路管件医用负压排气消毒处理系统及电气控制系统等</w:t>
      </w:r>
      <w:r>
        <w:rPr>
          <w:rFonts w:hint="eastAsia" w:asciiTheme="minorEastAsia" w:hAnsiTheme="minorEastAsia" w:eastAsiaTheme="minorEastAsia" w:cstheme="minorEastAsia"/>
          <w:kern w:val="0"/>
          <w:sz w:val="24"/>
          <w:szCs w:val="24"/>
        </w:rPr>
        <w:t>；</w:t>
      </w:r>
    </w:p>
    <w:p>
      <w:pPr>
        <w:keepNext w:val="0"/>
        <w:keepLines w:val="0"/>
        <w:pageBreakBefore w:val="0"/>
        <w:kinsoku/>
        <w:overflowPunct/>
        <w:topLinePunct w:val="0"/>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r>
        <w:rPr>
          <w:rFonts w:hint="eastAsia" w:asciiTheme="minorEastAsia" w:hAnsiTheme="minorEastAsia" w:eastAsiaTheme="minorEastAsia" w:cstheme="minorEastAsia"/>
          <w:sz w:val="24"/>
          <w:szCs w:val="24"/>
        </w:rPr>
        <w:t>采用一用一备双机组配置，单台抽气量≥</w:t>
      </w:r>
      <w:r>
        <w:rPr>
          <w:rFonts w:hint="eastAsia" w:asciiTheme="minorEastAsia" w:hAnsiTheme="minorEastAsia" w:cstheme="minorEastAsia"/>
          <w:sz w:val="24"/>
          <w:szCs w:val="24"/>
          <w:lang w:val="en-US" w:eastAsia="zh-CN"/>
        </w:rPr>
        <w:t>10</w:t>
      </w:r>
      <w:r>
        <w:rPr>
          <w:rFonts w:hint="eastAsia" w:asciiTheme="minorEastAsia" w:hAnsiTheme="minorEastAsia" w:eastAsiaTheme="minorEastAsia" w:cstheme="minorEastAsia"/>
          <w:sz w:val="24"/>
          <w:szCs w:val="24"/>
        </w:rPr>
        <w:t>0m³/hr，正常工作时，一台真空泵即可满足使用，当工作泵发生故障时，备用真空泵机组应能自动启动，以保证</w:t>
      </w:r>
      <w:r>
        <w:rPr>
          <w:rFonts w:hint="eastAsia" w:asciiTheme="minorEastAsia" w:hAnsiTheme="minorEastAsia" w:eastAsiaTheme="minorEastAsia" w:cstheme="minorEastAsia"/>
          <w:sz w:val="24"/>
          <w:szCs w:val="24"/>
          <w:lang w:eastAsia="zh-CN"/>
        </w:rPr>
        <w:t>独立中央负压</w:t>
      </w:r>
      <w:r>
        <w:rPr>
          <w:rFonts w:hint="eastAsia" w:asciiTheme="minorEastAsia" w:hAnsiTheme="minorEastAsia" w:eastAsiaTheme="minorEastAsia" w:cstheme="minorEastAsia"/>
          <w:sz w:val="24"/>
          <w:szCs w:val="24"/>
        </w:rPr>
        <w:t>系统正常工作。设备选用规格须满足</w:t>
      </w:r>
      <w:r>
        <w:rPr>
          <w:rFonts w:hint="eastAsia" w:asciiTheme="minorEastAsia" w:hAnsiTheme="minorEastAsia" w:eastAsiaTheme="minorEastAsia" w:cstheme="minorEastAsia"/>
          <w:sz w:val="24"/>
          <w:szCs w:val="24"/>
          <w:lang w:eastAsia="zh-CN"/>
        </w:rPr>
        <w:t>感染科（共</w:t>
      </w:r>
      <w:r>
        <w:rPr>
          <w:rFonts w:hint="eastAsia" w:asciiTheme="minorEastAsia" w:hAnsiTheme="minorEastAsia" w:eastAsiaTheme="minorEastAsia" w:cstheme="minorEastAsia"/>
          <w:sz w:val="24"/>
          <w:szCs w:val="24"/>
          <w:lang w:val="en-US" w:eastAsia="zh-CN"/>
        </w:rPr>
        <w:t>102张床位，其中ICU病区有12张床位，普通病区90张床位</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对负压空气的使用要求。</w:t>
      </w:r>
    </w:p>
    <w:p>
      <w:pPr>
        <w:keepNext w:val="0"/>
        <w:keepLines w:val="0"/>
        <w:pageBreakBefore w:val="0"/>
        <w:kinsoku/>
        <w:overflowPunct/>
        <w:topLinePunct w:val="0"/>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r>
        <w:rPr>
          <w:rFonts w:hint="eastAsia" w:asciiTheme="minorEastAsia" w:hAnsiTheme="minorEastAsia" w:eastAsiaTheme="minorEastAsia" w:cstheme="minorEastAsia"/>
          <w:spacing w:val="-4"/>
          <w:sz w:val="24"/>
          <w:szCs w:val="24"/>
          <w:lang w:eastAsia="zh-CN"/>
        </w:rPr>
        <w:t>须同时具备</w:t>
      </w:r>
      <w:r>
        <w:rPr>
          <w:rFonts w:hint="eastAsia" w:asciiTheme="minorEastAsia" w:hAnsiTheme="minorEastAsia" w:eastAsiaTheme="minorEastAsia" w:cstheme="minorEastAsia"/>
          <w:sz w:val="24"/>
          <w:szCs w:val="24"/>
        </w:rPr>
        <w:t>全自动</w:t>
      </w:r>
      <w:r>
        <w:rPr>
          <w:rFonts w:hint="eastAsia" w:asciiTheme="minorEastAsia" w:hAnsiTheme="minorEastAsia" w:eastAsiaTheme="minorEastAsia" w:cstheme="minorEastAsia"/>
          <w:sz w:val="24"/>
          <w:szCs w:val="24"/>
          <w:lang w:eastAsia="zh-CN"/>
        </w:rPr>
        <w:t>智能模式和电接点压力表控制模式，能自动切换运行，须开开放数据通讯接口，系统设备可远程管理。</w:t>
      </w:r>
    </w:p>
    <w:p>
      <w:pPr>
        <w:keepNext w:val="0"/>
        <w:keepLines w:val="0"/>
        <w:pageBreakBefore w:val="0"/>
        <w:kinsoku/>
        <w:overflowPunct/>
        <w:topLinePunct w:val="0"/>
        <w:bidi w:val="0"/>
        <w:adjustRightInd/>
        <w:snapToGrid/>
        <w:spacing w:line="400" w:lineRule="exact"/>
        <w:ind w:firstLine="464" w:firstLineChars="200"/>
        <w:textAlignment w:val="auto"/>
        <w:rPr>
          <w:rFonts w:hint="eastAsia" w:asciiTheme="minorEastAsia" w:hAnsiTheme="minorEastAsia" w:eastAsiaTheme="minorEastAsia" w:cstheme="minorEastAsia"/>
          <w:spacing w:val="-4"/>
          <w:sz w:val="24"/>
          <w:szCs w:val="24"/>
          <w:lang w:val="en-US" w:eastAsia="zh-CN"/>
        </w:rPr>
      </w:pPr>
      <w:r>
        <w:rPr>
          <w:rFonts w:hint="eastAsia" w:asciiTheme="minorEastAsia" w:hAnsiTheme="minorEastAsia" w:eastAsiaTheme="minorEastAsia" w:cstheme="minorEastAsia"/>
          <w:spacing w:val="-4"/>
          <w:sz w:val="24"/>
          <w:szCs w:val="24"/>
          <w:lang w:val="en-US" w:eastAsia="zh-CN"/>
        </w:rPr>
        <w:t>4、</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r>
        <w:rPr>
          <w:rFonts w:hint="eastAsia" w:asciiTheme="minorEastAsia" w:hAnsiTheme="minorEastAsia" w:eastAsiaTheme="minorEastAsia" w:cstheme="minorEastAsia"/>
          <w:spacing w:val="-4"/>
          <w:sz w:val="24"/>
          <w:szCs w:val="24"/>
          <w:lang w:eastAsia="zh-CN"/>
        </w:rPr>
        <w:t>须满足机房的卫生防疫要求，排气口消毒处理系统应采用高效过滤器（</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H13</w:t>
      </w:r>
      <w:r>
        <w:rPr>
          <w:rFonts w:hint="eastAsia" w:asciiTheme="minorEastAsia" w:hAnsiTheme="minorEastAsia" w:eastAsiaTheme="minorEastAsia" w:cstheme="minorEastAsia"/>
          <w:spacing w:val="-4"/>
          <w:sz w:val="24"/>
          <w:szCs w:val="24"/>
          <w:lang w:eastAsia="zh-CN"/>
        </w:rPr>
        <w:t>）加紫外线光伏杀毒工艺，排气口废气排放须达到国家标准。</w:t>
      </w:r>
    </w:p>
    <w:p>
      <w:pPr>
        <w:keepNext w:val="0"/>
        <w:keepLines w:val="0"/>
        <w:pageBreakBefore w:val="0"/>
        <w:kinsoku/>
        <w:overflowPunct/>
        <w:topLinePunct w:val="0"/>
        <w:bidi w:val="0"/>
        <w:adjustRightInd/>
        <w:snapToGrid/>
        <w:spacing w:line="400" w:lineRule="exact"/>
        <w:ind w:firstLine="464"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pacing w:val="-4"/>
          <w:sz w:val="24"/>
          <w:szCs w:val="24"/>
          <w:lang w:val="en-US" w:eastAsia="zh-CN"/>
        </w:rPr>
        <w:t>5、</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r>
        <w:rPr>
          <w:rFonts w:hint="eastAsia" w:asciiTheme="minorEastAsia" w:hAnsiTheme="minorEastAsia" w:eastAsiaTheme="minorEastAsia" w:cstheme="minorEastAsia"/>
          <w:spacing w:val="-4"/>
          <w:sz w:val="24"/>
          <w:szCs w:val="24"/>
          <w:lang w:eastAsia="zh-CN"/>
        </w:rPr>
        <w:t>平时以</w:t>
      </w:r>
      <w:r>
        <w:rPr>
          <w:rFonts w:hint="eastAsia" w:asciiTheme="minorEastAsia" w:hAnsiTheme="minorEastAsia" w:eastAsiaTheme="minorEastAsia" w:cstheme="minorEastAsia"/>
          <w:sz w:val="24"/>
          <w:szCs w:val="24"/>
        </w:rPr>
        <w:t>全自动</w:t>
      </w:r>
      <w:r>
        <w:rPr>
          <w:rFonts w:hint="eastAsia" w:asciiTheme="minorEastAsia" w:hAnsiTheme="minorEastAsia" w:eastAsiaTheme="minorEastAsia" w:cstheme="minorEastAsia"/>
          <w:sz w:val="24"/>
          <w:szCs w:val="24"/>
          <w:lang w:eastAsia="zh-CN"/>
        </w:rPr>
        <w:t>智能模式</w:t>
      </w:r>
      <w:r>
        <w:rPr>
          <w:rFonts w:hint="eastAsia" w:asciiTheme="minorEastAsia" w:hAnsiTheme="minorEastAsia" w:eastAsiaTheme="minorEastAsia" w:cstheme="minorEastAsia"/>
          <w:sz w:val="24"/>
          <w:szCs w:val="24"/>
        </w:rPr>
        <w:t>工作方式，无须专人值守，能根据医院的实际用气量的要求逐台启动或停止各机组的运行，各机组之间交替跟踪启动，互为备用，方便医院管理。同时设有</w:t>
      </w:r>
      <w:r>
        <w:rPr>
          <w:rFonts w:hint="eastAsia" w:asciiTheme="minorEastAsia" w:hAnsiTheme="minorEastAsia" w:eastAsiaTheme="minorEastAsia" w:cstheme="minorEastAsia"/>
          <w:sz w:val="24"/>
          <w:szCs w:val="24"/>
          <w:lang w:eastAsia="zh-CN"/>
        </w:rPr>
        <w:t>机械触点表控制模式运行模式</w:t>
      </w:r>
      <w:r>
        <w:rPr>
          <w:rFonts w:hint="eastAsia" w:asciiTheme="minorEastAsia" w:hAnsiTheme="minorEastAsia" w:eastAsiaTheme="minorEastAsia" w:cstheme="minorEastAsia"/>
          <w:sz w:val="24"/>
          <w:szCs w:val="24"/>
        </w:rPr>
        <w:t>控制系统，在</w:t>
      </w:r>
      <w:r>
        <w:rPr>
          <w:rFonts w:hint="eastAsia" w:asciiTheme="minorEastAsia" w:hAnsiTheme="minorEastAsia" w:eastAsiaTheme="minorEastAsia" w:cstheme="minorEastAsia"/>
          <w:sz w:val="24"/>
          <w:szCs w:val="24"/>
          <w:lang w:eastAsia="zh-CN"/>
        </w:rPr>
        <w:t>自动控制系统故障或其他</w:t>
      </w:r>
      <w:r>
        <w:rPr>
          <w:rFonts w:hint="eastAsia" w:asciiTheme="minorEastAsia" w:hAnsiTheme="minorEastAsia" w:eastAsiaTheme="minorEastAsia" w:cstheme="minorEastAsia"/>
          <w:sz w:val="24"/>
          <w:szCs w:val="24"/>
        </w:rPr>
        <w:t>突发情况下可采用转换至</w:t>
      </w:r>
      <w:r>
        <w:rPr>
          <w:rFonts w:hint="eastAsia" w:asciiTheme="minorEastAsia" w:hAnsiTheme="minorEastAsia" w:eastAsiaTheme="minorEastAsia" w:cstheme="minorEastAsia"/>
          <w:sz w:val="24"/>
          <w:szCs w:val="24"/>
          <w:lang w:eastAsia="zh-CN"/>
        </w:rPr>
        <w:t>机电接点压力表控制模式</w:t>
      </w:r>
      <w:r>
        <w:rPr>
          <w:rFonts w:hint="eastAsia" w:asciiTheme="minorEastAsia" w:hAnsiTheme="minorEastAsia" w:eastAsiaTheme="minorEastAsia" w:cstheme="minorEastAsia"/>
          <w:sz w:val="24"/>
          <w:szCs w:val="24"/>
        </w:rPr>
        <w:t>状态下启动</w:t>
      </w:r>
      <w:r>
        <w:rPr>
          <w:rFonts w:hint="eastAsia" w:asciiTheme="minorEastAsia" w:hAnsiTheme="minorEastAsia" w:eastAsiaTheme="minorEastAsia" w:cstheme="minorEastAsia"/>
          <w:sz w:val="24"/>
          <w:szCs w:val="24"/>
          <w:lang w:eastAsia="zh-CN"/>
        </w:rPr>
        <w:t>正常</w:t>
      </w:r>
      <w:r>
        <w:rPr>
          <w:rFonts w:hint="eastAsia" w:asciiTheme="minorEastAsia" w:hAnsiTheme="minorEastAsia" w:eastAsiaTheme="minorEastAsia" w:cstheme="minorEastAsia"/>
          <w:sz w:val="24"/>
          <w:szCs w:val="24"/>
        </w:rPr>
        <w:t>运行。</w:t>
      </w:r>
    </w:p>
    <w:p>
      <w:pPr>
        <w:keepNext w:val="0"/>
        <w:keepLines w:val="0"/>
        <w:pageBreakBefore w:val="0"/>
        <w:kinsoku/>
        <w:overflowPunct/>
        <w:topLinePunct w:val="0"/>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r>
        <w:rPr>
          <w:rFonts w:hint="eastAsia" w:asciiTheme="minorEastAsia" w:hAnsiTheme="minorEastAsia" w:eastAsiaTheme="minorEastAsia" w:cstheme="minorEastAsia"/>
          <w:sz w:val="24"/>
          <w:szCs w:val="24"/>
        </w:rPr>
        <w:t>能与医院现有的系统实现</w:t>
      </w:r>
      <w:r>
        <w:rPr>
          <w:rFonts w:hint="eastAsia" w:asciiTheme="minorEastAsia" w:hAnsiTheme="minorEastAsia" w:eastAsiaTheme="minorEastAsia" w:cstheme="minorEastAsia"/>
          <w:sz w:val="24"/>
          <w:szCs w:val="24"/>
          <w:lang w:eastAsia="zh-CN"/>
        </w:rPr>
        <w:t>软件兼容</w:t>
      </w:r>
      <w:r>
        <w:rPr>
          <w:rFonts w:hint="eastAsia" w:asciiTheme="minorEastAsia" w:hAnsiTheme="minorEastAsia" w:eastAsiaTheme="minorEastAsia" w:cstheme="minorEastAsia"/>
          <w:sz w:val="24"/>
          <w:szCs w:val="24"/>
        </w:rPr>
        <w:t>功能，</w:t>
      </w:r>
      <w:r>
        <w:rPr>
          <w:rFonts w:hint="eastAsia" w:asciiTheme="minorEastAsia" w:hAnsiTheme="minorEastAsia" w:eastAsiaTheme="minorEastAsia" w:cstheme="minorEastAsia"/>
          <w:sz w:val="24"/>
          <w:szCs w:val="24"/>
          <w:lang w:eastAsia="zh-CN"/>
        </w:rPr>
        <w:t>各机组间模块化，可联动运行。</w:t>
      </w:r>
      <w:r>
        <w:rPr>
          <w:rFonts w:hint="eastAsia" w:asciiTheme="minorEastAsia" w:hAnsiTheme="minorEastAsia" w:eastAsiaTheme="minorEastAsia" w:cstheme="minorEastAsia"/>
          <w:sz w:val="24"/>
          <w:szCs w:val="24"/>
        </w:rPr>
        <w:t>正常工作时，每个循环启动一台油环真空泵，当工作泵发生故障时，备用真空泵机组应能自动启动；以保证</w:t>
      </w:r>
      <w:r>
        <w:rPr>
          <w:rFonts w:hint="eastAsia" w:asciiTheme="minorEastAsia" w:hAnsiTheme="minorEastAsia" w:eastAsiaTheme="minorEastAsia" w:cstheme="minorEastAsia"/>
          <w:sz w:val="24"/>
          <w:szCs w:val="24"/>
          <w:lang w:eastAsia="zh-CN"/>
        </w:rPr>
        <w:t>独立中央负压</w:t>
      </w:r>
      <w:r>
        <w:rPr>
          <w:rFonts w:hint="eastAsia" w:asciiTheme="minorEastAsia" w:hAnsiTheme="minorEastAsia" w:eastAsiaTheme="minorEastAsia" w:cstheme="minorEastAsia"/>
          <w:sz w:val="24"/>
          <w:szCs w:val="24"/>
        </w:rPr>
        <w:t>系统正常工作</w:t>
      </w:r>
    </w:p>
    <w:p>
      <w:pPr>
        <w:keepNext w:val="0"/>
        <w:keepLines w:val="0"/>
        <w:pageBreakBefore w:val="0"/>
        <w:kinsoku/>
        <w:overflowPunct/>
        <w:topLinePunct w:val="0"/>
        <w:autoSpaceDE w:val="0"/>
        <w:autoSpaceDN w:val="0"/>
        <w:bidi w:val="0"/>
        <w:adjustRightInd/>
        <w:snapToGrid/>
        <w:spacing w:line="400" w:lineRule="exac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rPr>
        <w:t>、智能远程监控系统须</w:t>
      </w:r>
      <w:r>
        <w:rPr>
          <w:rFonts w:hint="eastAsia" w:asciiTheme="minorEastAsia" w:hAnsiTheme="minorEastAsia" w:eastAsiaTheme="minorEastAsia" w:cstheme="minorEastAsia"/>
          <w:sz w:val="24"/>
          <w:szCs w:val="24"/>
          <w:lang w:eastAsia="zh-CN"/>
        </w:rPr>
        <w:t>能对接</w:t>
      </w:r>
      <w:r>
        <w:rPr>
          <w:rFonts w:hint="eastAsia" w:asciiTheme="minorEastAsia" w:hAnsiTheme="minorEastAsia" w:eastAsiaTheme="minorEastAsia" w:cstheme="minorEastAsia"/>
          <w:sz w:val="24"/>
          <w:szCs w:val="24"/>
        </w:rPr>
        <w:t>医院现有中心吸引系统和本次新增中心吸引系统</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系统通过有线网络将数据传送监控值班室</w:t>
      </w:r>
      <w:r>
        <w:rPr>
          <w:rFonts w:hint="eastAsia" w:asciiTheme="minorEastAsia" w:hAnsiTheme="minorEastAsia" w:eastAsiaTheme="minorEastAsia" w:cstheme="minorEastAsia"/>
          <w:sz w:val="24"/>
          <w:szCs w:val="24"/>
          <w:lang w:eastAsia="zh-CN"/>
        </w:rPr>
        <w:t>监控台</w:t>
      </w:r>
      <w:r>
        <w:rPr>
          <w:rFonts w:hint="eastAsia" w:asciiTheme="minorEastAsia" w:hAnsiTheme="minorEastAsia" w:eastAsiaTheme="minorEastAsia" w:cstheme="minorEastAsia"/>
          <w:sz w:val="24"/>
          <w:szCs w:val="24"/>
        </w:rPr>
        <w:t>。</w:t>
      </w:r>
    </w:p>
    <w:p>
      <w:pPr>
        <w:keepNext w:val="0"/>
        <w:keepLines w:val="0"/>
        <w:pageBreakBefore w:val="0"/>
        <w:kinsoku/>
        <w:overflowPunct/>
        <w:topLinePunct w:val="0"/>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8</w:t>
      </w:r>
      <w:r>
        <w:rPr>
          <w:rFonts w:hint="eastAsia" w:asciiTheme="minorEastAsia" w:hAnsiTheme="minorEastAsia" w:eastAsiaTheme="minorEastAsia" w:cstheme="minorEastAsia"/>
          <w:sz w:val="24"/>
          <w:szCs w:val="24"/>
        </w:rPr>
        <w:t>、吸引系统必须确保管内压力在任何情况下，不能高于环境压力。吸引系统负压保持在-0.02Mpa ～ -0.07Mpa之间，并能在该范围内任意调节。</w:t>
      </w:r>
    </w:p>
    <w:p>
      <w:pPr>
        <w:keepNext w:val="0"/>
        <w:keepLines w:val="0"/>
        <w:pageBreakBefore w:val="0"/>
        <w:kinsoku/>
        <w:overflowPunct/>
        <w:topLinePunct w:val="0"/>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rPr>
        <w:t>、吸引系统应有可靠的接地，接地电阻应小于10欧姆。</w:t>
      </w:r>
    </w:p>
    <w:p>
      <w:pPr>
        <w:keepNext w:val="0"/>
        <w:keepLines w:val="0"/>
        <w:pageBreakBefore w:val="0"/>
        <w:kinsoku/>
        <w:overflowPunct/>
        <w:topLinePunct w:val="0"/>
        <w:bidi w:val="0"/>
        <w:adjustRightInd/>
        <w:snapToGrid/>
        <w:spacing w:line="400" w:lineRule="exac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中央负压系统设置须满足GB50751第4.4条要求和国家最新的传染病医院负压系统设置的要求</w:t>
      </w:r>
    </w:p>
    <w:p>
      <w:pPr>
        <w:keepNext w:val="0"/>
        <w:keepLines w:val="0"/>
        <w:pageBreakBefore w:val="0"/>
        <w:numPr>
          <w:ilvl w:val="0"/>
          <w:numId w:val="0"/>
        </w:numPr>
        <w:kinsoku/>
        <w:overflowPunct/>
        <w:topLinePunct w:val="0"/>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10、独立中央</w:t>
      </w:r>
      <w:r>
        <w:rPr>
          <w:rFonts w:hint="eastAsia" w:asciiTheme="minorEastAsia" w:hAnsiTheme="minorEastAsia" w:eastAsiaTheme="minorEastAsia" w:cstheme="minorEastAsia"/>
          <w:sz w:val="24"/>
          <w:szCs w:val="24"/>
        </w:rPr>
        <w:t>负压系统设置须满足GB</w:t>
      </w:r>
      <w:r>
        <w:rPr>
          <w:rFonts w:hint="eastAsia" w:asciiTheme="minorEastAsia" w:hAnsiTheme="minorEastAsia" w:cstheme="minorEastAsia"/>
          <w:sz w:val="24"/>
          <w:szCs w:val="24"/>
          <w:lang w:val="en-US" w:eastAsia="zh-CN"/>
        </w:rPr>
        <w:t>-</w:t>
      </w:r>
      <w:r>
        <w:rPr>
          <w:rFonts w:hint="eastAsia" w:asciiTheme="minorEastAsia" w:hAnsiTheme="minorEastAsia" w:eastAsiaTheme="minorEastAsia" w:cstheme="minorEastAsia"/>
          <w:sz w:val="24"/>
          <w:szCs w:val="24"/>
        </w:rPr>
        <w:t>50751第4.4条要求和国家最新的传染病医院负压系统的要求</w:t>
      </w:r>
    </w:p>
    <w:p>
      <w:pPr>
        <w:keepNext w:val="0"/>
        <w:keepLines w:val="0"/>
        <w:pageBreakBefore w:val="0"/>
        <w:numPr>
          <w:ilvl w:val="0"/>
          <w:numId w:val="0"/>
        </w:numPr>
        <w:kinsoku/>
        <w:overflowPunct/>
        <w:topLinePunct w:val="0"/>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11、独立中央负压系统须提供3年免费全保服务，全保期从项目工程竣工验收合格之日算起。全保期</w:t>
      </w:r>
      <w:r>
        <w:rPr>
          <w:rFonts w:hint="eastAsia" w:asciiTheme="minorEastAsia" w:hAnsiTheme="minorEastAsia" w:eastAsiaTheme="minorEastAsia" w:cstheme="minorEastAsia"/>
          <w:spacing w:val="-4"/>
          <w:sz w:val="24"/>
          <w:szCs w:val="24"/>
          <w:lang w:eastAsia="zh-CN"/>
        </w:rPr>
        <w:t>独立中央负压</w:t>
      </w:r>
      <w:r>
        <w:rPr>
          <w:rFonts w:hint="eastAsia" w:asciiTheme="minorEastAsia" w:hAnsiTheme="minorEastAsia" w:eastAsiaTheme="minorEastAsia" w:cstheme="minorEastAsia"/>
          <w:spacing w:val="-4"/>
          <w:sz w:val="24"/>
          <w:szCs w:val="24"/>
        </w:rPr>
        <w:t>系统</w:t>
      </w:r>
      <w:r>
        <w:rPr>
          <w:rFonts w:hint="eastAsia" w:asciiTheme="minorEastAsia" w:hAnsiTheme="minorEastAsia" w:eastAsiaTheme="minorEastAsia" w:cstheme="minorEastAsia"/>
          <w:spacing w:val="-4"/>
          <w:sz w:val="24"/>
          <w:szCs w:val="24"/>
          <w:lang w:eastAsia="zh-CN"/>
        </w:rPr>
        <w:t>维修、维护和保养所需的零配件、耗材和人工费等所有的费用均由投标人负责。</w:t>
      </w:r>
    </w:p>
    <w:p>
      <w:pPr>
        <w:keepNext w:val="0"/>
        <w:keepLines w:val="0"/>
        <w:pageBreakBefore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r>
        <w:rPr>
          <w:rFonts w:hint="eastAsia" w:asciiTheme="minorEastAsia" w:hAnsiTheme="minorEastAsia" w:eastAsiaTheme="minorEastAsia" w:cstheme="minorEastAsia"/>
          <w:sz w:val="24"/>
          <w:szCs w:val="24"/>
          <w:lang w:eastAsia="zh-CN"/>
        </w:rPr>
        <w:t>独立中央</w:t>
      </w:r>
      <w:r>
        <w:rPr>
          <w:rFonts w:hint="eastAsia" w:asciiTheme="minorEastAsia" w:hAnsiTheme="minorEastAsia" w:eastAsiaTheme="minorEastAsia" w:cstheme="minorEastAsia"/>
          <w:sz w:val="24"/>
          <w:szCs w:val="24"/>
        </w:rPr>
        <w:t>负压系统配置参数表</w:t>
      </w:r>
      <w:r>
        <w:rPr>
          <w:rFonts w:hint="eastAsia" w:asciiTheme="minorEastAsia" w:hAnsiTheme="minorEastAsia" w:eastAsiaTheme="minorEastAsia" w:cstheme="minorEastAsia"/>
          <w:sz w:val="24"/>
          <w:szCs w:val="24"/>
          <w:lang w:eastAsia="zh-CN"/>
        </w:rPr>
        <w:t>（系统主要包含但不仅限于以下表格</w:t>
      </w:r>
      <w:r>
        <w:rPr>
          <w:rFonts w:hint="eastAsia" w:asciiTheme="minorEastAsia" w:hAnsiTheme="minorEastAsia" w:cstheme="minorEastAsia"/>
          <w:sz w:val="24"/>
          <w:szCs w:val="24"/>
          <w:lang w:eastAsia="zh-CN"/>
        </w:rPr>
        <w:t>设备</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w:t>
      </w:r>
    </w:p>
    <w:tbl>
      <w:tblPr>
        <w:tblStyle w:val="7"/>
        <w:tblpPr w:leftFromText="181" w:rightFromText="181" w:vertAnchor="text" w:horzAnchor="page" w:tblpXSpec="center" w:tblpY="1180"/>
        <w:tblW w:w="8835" w:type="dxa"/>
        <w:jc w:val="center"/>
        <w:tblLayout w:type="fixed"/>
        <w:tblCellMar>
          <w:top w:w="0" w:type="dxa"/>
          <w:left w:w="108" w:type="dxa"/>
          <w:bottom w:w="0" w:type="dxa"/>
          <w:right w:w="108" w:type="dxa"/>
        </w:tblCellMar>
      </w:tblPr>
      <w:tblGrid>
        <w:gridCol w:w="608"/>
        <w:gridCol w:w="1980"/>
        <w:gridCol w:w="3972"/>
        <w:gridCol w:w="432"/>
        <w:gridCol w:w="709"/>
        <w:gridCol w:w="1134"/>
      </w:tblGrid>
      <w:tr>
        <w:tblPrEx>
          <w:tblCellMar>
            <w:top w:w="0" w:type="dxa"/>
            <w:left w:w="108" w:type="dxa"/>
            <w:bottom w:w="0" w:type="dxa"/>
            <w:right w:w="108" w:type="dxa"/>
          </w:tblCellMar>
        </w:tblPrEx>
        <w:trPr>
          <w:trHeight w:val="312" w:hRule="atLeast"/>
          <w:jc w:val="center"/>
        </w:trPr>
        <w:tc>
          <w:tcPr>
            <w:tcW w:w="608" w:type="dxa"/>
            <w:vMerge w:val="restart"/>
            <w:tcBorders>
              <w:top w:val="single" w:color="auto" w:sz="8" w:space="0"/>
              <w:left w:val="single" w:color="auto" w:sz="8" w:space="0"/>
              <w:bottom w:val="single" w:color="000000"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b/>
                <w:bCs/>
                <w:kern w:val="0"/>
                <w:szCs w:val="21"/>
              </w:rPr>
            </w:pPr>
            <w:r>
              <w:rPr>
                <w:rFonts w:hint="eastAsia" w:ascii="宋体" w:hAnsi="宋体" w:eastAsia="宋体" w:cs="宋体"/>
                <w:b/>
                <w:bCs/>
                <w:kern w:val="0"/>
                <w:szCs w:val="21"/>
              </w:rPr>
              <w:t>序号</w:t>
            </w:r>
          </w:p>
        </w:tc>
        <w:tc>
          <w:tcPr>
            <w:tcW w:w="1980"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b/>
                <w:bCs/>
                <w:kern w:val="0"/>
                <w:szCs w:val="21"/>
              </w:rPr>
            </w:pPr>
            <w:r>
              <w:rPr>
                <w:rFonts w:hint="eastAsia" w:ascii="宋体" w:hAnsi="宋体" w:eastAsia="宋体" w:cs="宋体"/>
                <w:b/>
                <w:bCs/>
                <w:kern w:val="0"/>
                <w:szCs w:val="21"/>
              </w:rPr>
              <w:t>材料内容及规格</w:t>
            </w:r>
          </w:p>
        </w:tc>
        <w:tc>
          <w:tcPr>
            <w:tcW w:w="3972"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kern w:val="0"/>
                <w:szCs w:val="21"/>
                <w:lang w:val="en-US" w:eastAsia="zh-CN"/>
              </w:rPr>
            </w:pPr>
            <w:r>
              <w:rPr>
                <w:rFonts w:hint="eastAsia" w:ascii="宋体" w:hAnsi="宋体" w:eastAsia="宋体" w:cs="宋体"/>
                <w:b/>
                <w:bCs/>
                <w:kern w:val="0"/>
                <w:szCs w:val="21"/>
              </w:rPr>
              <w:t>规格及</w:t>
            </w:r>
            <w:r>
              <w:rPr>
                <w:rFonts w:hint="eastAsia" w:ascii="宋体" w:hAnsi="宋体" w:eastAsia="宋体" w:cs="宋体"/>
                <w:b/>
                <w:bCs/>
                <w:kern w:val="0"/>
                <w:szCs w:val="21"/>
                <w:lang w:eastAsia="zh-CN"/>
              </w:rPr>
              <w:t>技术要求</w:t>
            </w:r>
          </w:p>
        </w:tc>
        <w:tc>
          <w:tcPr>
            <w:tcW w:w="432" w:type="dxa"/>
            <w:vMerge w:val="restart"/>
            <w:tcBorders>
              <w:top w:val="single" w:color="auto" w:sz="8" w:space="0"/>
              <w:left w:val="single" w:color="auto" w:sz="8" w:space="0"/>
              <w:bottom w:val="single" w:color="000000"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b/>
                <w:bCs/>
                <w:kern w:val="0"/>
                <w:szCs w:val="21"/>
              </w:rPr>
            </w:pPr>
            <w:r>
              <w:rPr>
                <w:rFonts w:hint="eastAsia" w:ascii="宋体" w:hAnsi="宋体" w:eastAsia="宋体" w:cs="宋体"/>
                <w:b/>
                <w:bCs/>
                <w:kern w:val="0"/>
                <w:szCs w:val="21"/>
              </w:rPr>
              <w:t>单位</w:t>
            </w:r>
          </w:p>
        </w:tc>
        <w:tc>
          <w:tcPr>
            <w:tcW w:w="709"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b/>
                <w:bCs/>
                <w:kern w:val="0"/>
                <w:szCs w:val="21"/>
              </w:rPr>
            </w:pPr>
            <w:r>
              <w:rPr>
                <w:rFonts w:hint="eastAsia" w:ascii="宋体" w:hAnsi="宋体" w:eastAsia="宋体" w:cs="宋体"/>
                <w:b/>
                <w:bCs/>
                <w:kern w:val="0"/>
                <w:szCs w:val="21"/>
              </w:rPr>
              <w:t>工程量</w:t>
            </w:r>
          </w:p>
        </w:tc>
        <w:tc>
          <w:tcPr>
            <w:tcW w:w="1134"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kern w:val="0"/>
                <w:szCs w:val="21"/>
                <w:lang w:eastAsia="zh-CN"/>
              </w:rPr>
            </w:pPr>
            <w:r>
              <w:rPr>
                <w:rFonts w:hint="eastAsia" w:ascii="宋体" w:hAnsi="宋体" w:eastAsia="宋体" w:cs="宋体"/>
                <w:b/>
                <w:bCs/>
                <w:kern w:val="0"/>
                <w:szCs w:val="21"/>
                <w:lang w:eastAsia="zh-CN"/>
              </w:rPr>
              <w:t>备注</w:t>
            </w:r>
          </w:p>
        </w:tc>
      </w:tr>
      <w:tr>
        <w:tblPrEx>
          <w:tblCellMar>
            <w:top w:w="0" w:type="dxa"/>
            <w:left w:w="108" w:type="dxa"/>
            <w:bottom w:w="0" w:type="dxa"/>
            <w:right w:w="108" w:type="dxa"/>
          </w:tblCellMar>
        </w:tblPrEx>
        <w:trPr>
          <w:trHeight w:val="312" w:hRule="atLeast"/>
          <w:jc w:val="center"/>
        </w:trPr>
        <w:tc>
          <w:tcPr>
            <w:tcW w:w="608" w:type="dxa"/>
            <w:vMerge w:val="continue"/>
            <w:tcBorders>
              <w:top w:val="single" w:color="auto" w:sz="8" w:space="0"/>
              <w:left w:val="single" w:color="auto" w:sz="8" w:space="0"/>
              <w:bottom w:val="single" w:color="000000" w:sz="8" w:space="0"/>
              <w:right w:val="single" w:color="auto" w:sz="8" w:space="0"/>
            </w:tcBorders>
            <w:vAlign w:val="center"/>
          </w:tcPr>
          <w:p>
            <w:pPr>
              <w:widowControl/>
              <w:jc w:val="left"/>
              <w:rPr>
                <w:rFonts w:ascii="宋体" w:hAnsi="宋体" w:eastAsia="宋体" w:cs="宋体"/>
                <w:b/>
                <w:bCs/>
                <w:kern w:val="0"/>
                <w:szCs w:val="21"/>
              </w:rPr>
            </w:pPr>
          </w:p>
        </w:tc>
        <w:tc>
          <w:tcPr>
            <w:tcW w:w="1980" w:type="dxa"/>
            <w:vMerge w:val="continue"/>
            <w:tcBorders>
              <w:top w:val="single" w:color="auto" w:sz="8" w:space="0"/>
              <w:left w:val="single" w:color="auto" w:sz="8" w:space="0"/>
              <w:bottom w:val="single" w:color="000000" w:sz="8" w:space="0"/>
              <w:right w:val="single" w:color="auto" w:sz="8" w:space="0"/>
            </w:tcBorders>
            <w:vAlign w:val="center"/>
          </w:tcPr>
          <w:p>
            <w:pPr>
              <w:widowControl/>
              <w:jc w:val="left"/>
              <w:rPr>
                <w:rFonts w:ascii="宋体" w:hAnsi="宋体" w:eastAsia="宋体" w:cs="宋体"/>
                <w:b/>
                <w:bCs/>
                <w:kern w:val="0"/>
                <w:szCs w:val="21"/>
              </w:rPr>
            </w:pPr>
          </w:p>
        </w:tc>
        <w:tc>
          <w:tcPr>
            <w:tcW w:w="3972" w:type="dxa"/>
            <w:vMerge w:val="continue"/>
            <w:tcBorders>
              <w:top w:val="single" w:color="auto" w:sz="8" w:space="0"/>
              <w:left w:val="single" w:color="auto" w:sz="8" w:space="0"/>
              <w:bottom w:val="single" w:color="000000" w:sz="8" w:space="0"/>
              <w:right w:val="single" w:color="auto" w:sz="8" w:space="0"/>
            </w:tcBorders>
            <w:vAlign w:val="center"/>
          </w:tcPr>
          <w:p>
            <w:pPr>
              <w:widowControl/>
              <w:jc w:val="left"/>
              <w:rPr>
                <w:rFonts w:ascii="宋体" w:hAnsi="宋体" w:eastAsia="宋体" w:cs="宋体"/>
                <w:b/>
                <w:bCs/>
                <w:kern w:val="0"/>
                <w:szCs w:val="21"/>
              </w:rPr>
            </w:pPr>
          </w:p>
        </w:tc>
        <w:tc>
          <w:tcPr>
            <w:tcW w:w="432" w:type="dxa"/>
            <w:vMerge w:val="continue"/>
            <w:tcBorders>
              <w:top w:val="single" w:color="auto" w:sz="8" w:space="0"/>
              <w:left w:val="single" w:color="auto" w:sz="8" w:space="0"/>
              <w:bottom w:val="single" w:color="000000" w:sz="8" w:space="0"/>
              <w:right w:val="single" w:color="auto" w:sz="8" w:space="0"/>
            </w:tcBorders>
            <w:vAlign w:val="center"/>
          </w:tcPr>
          <w:p>
            <w:pPr>
              <w:widowControl/>
              <w:jc w:val="left"/>
              <w:rPr>
                <w:rFonts w:ascii="宋体" w:hAnsi="宋体" w:eastAsia="宋体" w:cs="宋体"/>
                <w:b/>
                <w:bCs/>
                <w:kern w:val="0"/>
                <w:szCs w:val="21"/>
              </w:rPr>
            </w:pPr>
          </w:p>
        </w:tc>
        <w:tc>
          <w:tcPr>
            <w:tcW w:w="709" w:type="dxa"/>
            <w:vMerge w:val="continue"/>
            <w:tcBorders>
              <w:top w:val="single" w:color="auto" w:sz="8" w:space="0"/>
              <w:left w:val="single" w:color="auto" w:sz="8" w:space="0"/>
              <w:bottom w:val="single" w:color="000000" w:sz="8" w:space="0"/>
              <w:right w:val="single" w:color="auto" w:sz="8" w:space="0"/>
            </w:tcBorders>
            <w:vAlign w:val="center"/>
          </w:tcPr>
          <w:p>
            <w:pPr>
              <w:widowControl/>
              <w:jc w:val="left"/>
              <w:rPr>
                <w:rFonts w:ascii="宋体" w:hAnsi="宋体" w:eastAsia="宋体" w:cs="宋体"/>
                <w:b/>
                <w:bCs/>
                <w:kern w:val="0"/>
                <w:szCs w:val="21"/>
              </w:rPr>
            </w:pPr>
          </w:p>
        </w:tc>
        <w:tc>
          <w:tcPr>
            <w:tcW w:w="1134" w:type="dxa"/>
            <w:vMerge w:val="continue"/>
            <w:tcBorders>
              <w:top w:val="single" w:color="auto" w:sz="8" w:space="0"/>
              <w:left w:val="single" w:color="auto" w:sz="8" w:space="0"/>
              <w:bottom w:val="single" w:color="000000" w:sz="8" w:space="0"/>
              <w:right w:val="single" w:color="auto" w:sz="8" w:space="0"/>
            </w:tcBorders>
            <w:vAlign w:val="center"/>
          </w:tcPr>
          <w:p>
            <w:pPr>
              <w:widowControl/>
              <w:jc w:val="left"/>
              <w:rPr>
                <w:rFonts w:ascii="宋体" w:hAnsi="宋体" w:eastAsia="宋体" w:cs="宋体"/>
                <w:b/>
                <w:bCs/>
                <w:kern w:val="0"/>
                <w:szCs w:val="21"/>
              </w:rPr>
            </w:pPr>
          </w:p>
        </w:tc>
      </w:tr>
      <w:tr>
        <w:tblPrEx>
          <w:tblCellMar>
            <w:top w:w="0" w:type="dxa"/>
            <w:left w:w="108" w:type="dxa"/>
            <w:bottom w:w="0" w:type="dxa"/>
            <w:right w:w="108" w:type="dxa"/>
          </w:tblCellMar>
        </w:tblPrEx>
        <w:trPr>
          <w:trHeight w:val="55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油环式真空泵</w:t>
            </w:r>
            <w:r>
              <w:rPr>
                <w:rFonts w:hint="eastAsia" w:ascii="宋体" w:hAnsi="宋体"/>
                <w:sz w:val="24"/>
                <w:szCs w:val="24"/>
              </w:rPr>
              <w:t>（含进气过滤器）</w:t>
            </w:r>
          </w:p>
        </w:tc>
        <w:tc>
          <w:tcPr>
            <w:tcW w:w="3972" w:type="dxa"/>
            <w:tcBorders>
              <w:top w:val="nil"/>
              <w:left w:val="nil"/>
              <w:bottom w:val="single" w:color="auto" w:sz="8" w:space="0"/>
              <w:right w:val="single" w:color="auto" w:sz="8" w:space="0"/>
            </w:tcBorders>
            <w:shd w:val="clear" w:color="auto" w:fill="auto"/>
            <w:vAlign w:val="center"/>
          </w:tcPr>
          <w:p>
            <w:pPr>
              <w:rPr>
                <w:rFonts w:ascii="宋体" w:hAnsi="宋体"/>
                <w:sz w:val="24"/>
                <w:szCs w:val="24"/>
              </w:rPr>
            </w:pPr>
            <w:r>
              <w:rPr>
                <w:rFonts w:hint="eastAsia" w:ascii="宋体" w:hAnsi="宋体"/>
                <w:sz w:val="24"/>
                <w:szCs w:val="24"/>
              </w:rPr>
              <w:t>每台</w:t>
            </w:r>
            <w:r>
              <w:rPr>
                <w:rFonts w:hint="eastAsia" w:ascii="宋体" w:hAnsi="宋体"/>
                <w:sz w:val="24"/>
                <w:szCs w:val="24"/>
                <w:lang w:eastAsia="zh-CN"/>
              </w:rPr>
              <w:t>抽</w:t>
            </w:r>
            <w:r>
              <w:rPr>
                <w:rFonts w:hint="eastAsia" w:ascii="宋体" w:hAnsi="宋体"/>
                <w:sz w:val="24"/>
                <w:szCs w:val="24"/>
              </w:rPr>
              <w:t>气量≥</w:t>
            </w:r>
            <w:r>
              <w:rPr>
                <w:rFonts w:hint="eastAsia" w:ascii="宋体" w:hAnsi="宋体"/>
                <w:sz w:val="24"/>
                <w:szCs w:val="24"/>
                <w:lang w:val="en-US" w:eastAsia="zh-CN"/>
              </w:rPr>
              <w:t>10</w:t>
            </w:r>
            <w:bookmarkStart w:id="0" w:name="_GoBack"/>
            <w:bookmarkEnd w:id="0"/>
            <w:r>
              <w:rPr>
                <w:rFonts w:ascii="宋体" w:hAnsi="宋体"/>
                <w:sz w:val="24"/>
                <w:szCs w:val="24"/>
              </w:rPr>
              <w:t>0m</w:t>
            </w:r>
            <w:r>
              <w:rPr>
                <w:rFonts w:ascii="宋体" w:hAnsi="宋体"/>
                <w:sz w:val="24"/>
                <w:szCs w:val="24"/>
                <w:vertAlign w:val="superscript"/>
              </w:rPr>
              <w:t>3</w:t>
            </w:r>
            <w:r>
              <w:rPr>
                <w:rFonts w:ascii="宋体" w:hAnsi="宋体"/>
                <w:sz w:val="24"/>
                <w:szCs w:val="24"/>
              </w:rPr>
              <w:t>/h</w:t>
            </w:r>
            <w:r>
              <w:rPr>
                <w:rFonts w:hint="eastAsia" w:ascii="宋体" w:hAnsi="宋体"/>
                <w:sz w:val="24"/>
                <w:szCs w:val="24"/>
              </w:rPr>
              <w:t>；</w:t>
            </w:r>
          </w:p>
          <w:p>
            <w:pPr>
              <w:rPr>
                <w:rFonts w:ascii="宋体" w:hAnsi="宋体"/>
                <w:sz w:val="24"/>
                <w:szCs w:val="24"/>
              </w:rPr>
            </w:pPr>
            <w:r>
              <w:rPr>
                <w:rFonts w:hint="eastAsia" w:ascii="宋体" w:hAnsi="宋体"/>
                <w:sz w:val="24"/>
                <w:szCs w:val="24"/>
              </w:rPr>
              <w:t>单台功率≤</w:t>
            </w:r>
            <w:r>
              <w:rPr>
                <w:rFonts w:hint="eastAsia" w:ascii="宋体" w:hAnsi="宋体"/>
                <w:sz w:val="24"/>
                <w:szCs w:val="24"/>
                <w:lang w:val="en-US" w:eastAsia="zh-CN"/>
              </w:rPr>
              <w:t>3</w:t>
            </w:r>
            <w:r>
              <w:rPr>
                <w:rFonts w:ascii="宋体" w:hAnsi="宋体"/>
                <w:sz w:val="24"/>
                <w:szCs w:val="24"/>
              </w:rPr>
              <w:t>kw</w:t>
            </w:r>
            <w:r>
              <w:rPr>
                <w:rFonts w:hint="eastAsia" w:ascii="宋体" w:hAnsi="宋体"/>
                <w:sz w:val="24"/>
                <w:szCs w:val="24"/>
              </w:rPr>
              <w:t>；</w:t>
            </w:r>
          </w:p>
          <w:p>
            <w:pPr>
              <w:rPr>
                <w:rFonts w:ascii="宋体" w:hAnsi="宋体"/>
                <w:sz w:val="24"/>
                <w:szCs w:val="24"/>
              </w:rPr>
            </w:pPr>
            <w:r>
              <w:rPr>
                <w:rFonts w:hint="eastAsia" w:ascii="宋体" w:hAnsi="宋体"/>
                <w:sz w:val="24"/>
                <w:szCs w:val="24"/>
              </w:rPr>
              <w:t>采用单级设计</w:t>
            </w:r>
            <w:r>
              <w:rPr>
                <w:rFonts w:ascii="宋体" w:hAnsi="宋体"/>
                <w:sz w:val="24"/>
                <w:szCs w:val="24"/>
              </w:rPr>
              <w:t xml:space="preserve">, </w:t>
            </w:r>
            <w:r>
              <w:rPr>
                <w:rFonts w:hint="eastAsia" w:ascii="宋体" w:hAnsi="宋体"/>
                <w:sz w:val="24"/>
                <w:szCs w:val="24"/>
              </w:rPr>
              <w:t>极限真空可达</w:t>
            </w:r>
            <w:r>
              <w:rPr>
                <w:rFonts w:ascii="宋体" w:hAnsi="宋体"/>
                <w:sz w:val="24"/>
                <w:szCs w:val="24"/>
              </w:rPr>
              <w:t>0.1 mbar abs</w:t>
            </w:r>
            <w:r>
              <w:rPr>
                <w:rFonts w:hint="eastAsia" w:ascii="宋体" w:hAnsi="宋体"/>
                <w:sz w:val="24"/>
                <w:szCs w:val="24"/>
              </w:rPr>
              <w:t>；</w:t>
            </w:r>
          </w:p>
          <w:p>
            <w:pPr>
              <w:widowControl/>
              <w:jc w:val="left"/>
              <w:rPr>
                <w:rFonts w:ascii="宋体" w:hAnsi="宋体" w:eastAsia="宋体" w:cs="宋体"/>
                <w:kern w:val="0"/>
                <w:szCs w:val="21"/>
              </w:rPr>
            </w:pPr>
            <w:r>
              <w:rPr>
                <w:rFonts w:hint="eastAsia" w:ascii="宋体" w:hAnsi="宋体"/>
                <w:sz w:val="24"/>
                <w:szCs w:val="24"/>
              </w:rPr>
              <w:t>内罝高效能油雾分离器，排出气体不含油雾。</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台</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2</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2</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单向阀</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 xml:space="preserve"> </w:t>
            </w:r>
            <w:r>
              <w:rPr>
                <w:rFonts w:hint="eastAsia" w:ascii="宋体" w:hAnsi="宋体" w:eastAsia="宋体" w:cs="宋体"/>
                <w:kern w:val="0"/>
                <w:szCs w:val="21"/>
                <w:lang w:val="en-US" w:eastAsia="zh-CN"/>
              </w:rPr>
              <w:t>DN-</w:t>
            </w:r>
            <w:r>
              <w:rPr>
                <w:rFonts w:hint="eastAsia" w:ascii="宋体" w:hAnsi="宋体" w:eastAsia="宋体" w:cs="宋体"/>
                <w:kern w:val="0"/>
                <w:szCs w:val="21"/>
              </w:rPr>
              <w:t>32</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个</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2</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3</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进气过滤器</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 xml:space="preserve"> </w:t>
            </w:r>
            <w:r>
              <w:rPr>
                <w:rFonts w:hint="eastAsia" w:ascii="宋体" w:hAnsi="宋体" w:eastAsia="宋体" w:cs="宋体"/>
                <w:kern w:val="0"/>
                <w:szCs w:val="21"/>
                <w:lang w:val="en-US" w:eastAsia="zh-CN"/>
              </w:rPr>
              <w:t>DN-</w:t>
            </w:r>
            <w:r>
              <w:rPr>
                <w:rFonts w:hint="eastAsia" w:ascii="宋体" w:hAnsi="宋体" w:eastAsia="宋体" w:cs="宋体"/>
                <w:kern w:val="0"/>
                <w:szCs w:val="21"/>
              </w:rPr>
              <w:t>32</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个</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2</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4</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真空缓冲罐</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2.0 m³</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个</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550" w:hRule="atLeast"/>
          <w:jc w:val="center"/>
        </w:trPr>
        <w:tc>
          <w:tcPr>
            <w:tcW w:w="608" w:type="dxa"/>
            <w:tcBorders>
              <w:top w:val="nil"/>
              <w:left w:val="single" w:color="auto" w:sz="8" w:space="0"/>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5</w:t>
            </w:r>
          </w:p>
        </w:tc>
        <w:tc>
          <w:tcPr>
            <w:tcW w:w="1980" w:type="dxa"/>
            <w:tcBorders>
              <w:top w:val="nil"/>
              <w:left w:val="nil"/>
              <w:bottom w:val="single" w:color="auto" w:sz="4"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除菌过滤器</w:t>
            </w:r>
          </w:p>
        </w:tc>
        <w:tc>
          <w:tcPr>
            <w:tcW w:w="3972" w:type="dxa"/>
            <w:tcBorders>
              <w:top w:val="nil"/>
              <w:left w:val="nil"/>
              <w:bottom w:val="single" w:color="auto" w:sz="4"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66m3/h,RC1"接口</w:t>
            </w:r>
            <w:r>
              <w:rPr>
                <w:rFonts w:hint="eastAsia" w:ascii="宋体" w:hAnsi="宋体"/>
                <w:sz w:val="24"/>
                <w:szCs w:val="24"/>
              </w:rPr>
              <w:t>（配套）</w:t>
            </w:r>
          </w:p>
        </w:tc>
        <w:tc>
          <w:tcPr>
            <w:tcW w:w="432" w:type="dxa"/>
            <w:tcBorders>
              <w:top w:val="nil"/>
              <w:left w:val="nil"/>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个</w:t>
            </w:r>
          </w:p>
        </w:tc>
        <w:tc>
          <w:tcPr>
            <w:tcW w:w="709" w:type="dxa"/>
            <w:tcBorders>
              <w:top w:val="nil"/>
              <w:left w:val="nil"/>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2</w:t>
            </w:r>
          </w:p>
        </w:tc>
        <w:tc>
          <w:tcPr>
            <w:tcW w:w="1134" w:type="dxa"/>
            <w:tcBorders>
              <w:top w:val="nil"/>
              <w:left w:val="nil"/>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550" w:hRule="atLeast"/>
          <w:jc w:val="center"/>
        </w:trPr>
        <w:tc>
          <w:tcPr>
            <w:tcW w:w="608" w:type="dxa"/>
            <w:tcBorders>
              <w:top w:val="single" w:color="auto" w:sz="4" w:space="0"/>
              <w:left w:val="single" w:color="auto" w:sz="4" w:space="0"/>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6</w:t>
            </w:r>
          </w:p>
        </w:tc>
        <w:tc>
          <w:tcPr>
            <w:tcW w:w="1980" w:type="dxa"/>
            <w:tcBorders>
              <w:top w:val="single" w:color="auto" w:sz="4" w:space="0"/>
              <w:left w:val="nil"/>
              <w:bottom w:val="single" w:color="auto" w:sz="4"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医用负压排气消毒处理系统</w:t>
            </w:r>
          </w:p>
        </w:tc>
        <w:tc>
          <w:tcPr>
            <w:tcW w:w="3972" w:type="dxa"/>
            <w:tcBorders>
              <w:top w:val="single" w:color="auto" w:sz="4" w:space="0"/>
              <w:left w:val="nil"/>
              <w:bottom w:val="single" w:color="auto" w:sz="4"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spacing w:val="-4"/>
                <w:sz w:val="24"/>
                <w:szCs w:val="11"/>
                <w:lang w:eastAsia="zh-CN"/>
              </w:rPr>
              <w:t>高效过滤器（</w:t>
            </w:r>
            <w:r>
              <w:rPr>
                <w:rFonts w:hint="eastAsia" w:ascii="宋体" w:hAnsi="宋体"/>
                <w:sz w:val="24"/>
                <w:szCs w:val="24"/>
              </w:rPr>
              <w:t>≥</w:t>
            </w:r>
            <w:r>
              <w:rPr>
                <w:rFonts w:hint="eastAsia" w:ascii="宋体" w:hAnsi="宋体"/>
                <w:sz w:val="24"/>
                <w:szCs w:val="24"/>
                <w:lang w:val="en-US" w:eastAsia="zh-CN"/>
              </w:rPr>
              <w:t>H13</w:t>
            </w:r>
            <w:r>
              <w:rPr>
                <w:rFonts w:hint="eastAsia" w:ascii="宋体" w:hAnsi="宋体"/>
                <w:spacing w:val="-4"/>
                <w:sz w:val="24"/>
                <w:szCs w:val="11"/>
                <w:lang w:eastAsia="zh-CN"/>
              </w:rPr>
              <w:t>）加紫外线光伏杀毒工艺</w:t>
            </w:r>
            <w:r>
              <w:rPr>
                <w:rFonts w:hint="eastAsia" w:ascii="宋体" w:hAnsi="宋体"/>
                <w:sz w:val="24"/>
                <w:szCs w:val="24"/>
              </w:rPr>
              <w:t>（配套）</w:t>
            </w:r>
          </w:p>
        </w:tc>
        <w:tc>
          <w:tcPr>
            <w:tcW w:w="432" w:type="dxa"/>
            <w:tcBorders>
              <w:top w:val="single" w:color="auto" w:sz="4" w:space="0"/>
              <w:left w:val="nil"/>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套</w:t>
            </w:r>
          </w:p>
        </w:tc>
        <w:tc>
          <w:tcPr>
            <w:tcW w:w="709" w:type="dxa"/>
            <w:tcBorders>
              <w:top w:val="single" w:color="auto" w:sz="4" w:space="0"/>
              <w:left w:val="nil"/>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134" w:type="dxa"/>
            <w:tcBorders>
              <w:top w:val="single" w:color="auto" w:sz="4" w:space="0"/>
              <w:left w:val="nil"/>
              <w:bottom w:val="single" w:color="auto" w:sz="4"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single" w:color="auto" w:sz="4" w:space="0"/>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7</w:t>
            </w:r>
          </w:p>
        </w:tc>
        <w:tc>
          <w:tcPr>
            <w:tcW w:w="1980" w:type="dxa"/>
            <w:tcBorders>
              <w:top w:val="single" w:color="auto" w:sz="4" w:space="0"/>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直角真空电磁阀</w:t>
            </w:r>
          </w:p>
        </w:tc>
        <w:tc>
          <w:tcPr>
            <w:tcW w:w="3972" w:type="dxa"/>
            <w:tcBorders>
              <w:top w:val="single" w:color="auto" w:sz="4" w:space="0"/>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32</w:t>
            </w:r>
            <w:r>
              <w:rPr>
                <w:rFonts w:hint="eastAsia" w:ascii="宋体" w:hAnsi="宋体"/>
                <w:sz w:val="24"/>
                <w:szCs w:val="24"/>
              </w:rPr>
              <w:t>（配套）</w:t>
            </w:r>
          </w:p>
        </w:tc>
        <w:tc>
          <w:tcPr>
            <w:tcW w:w="432" w:type="dxa"/>
            <w:tcBorders>
              <w:top w:val="single" w:color="auto" w:sz="4" w:space="0"/>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个</w:t>
            </w:r>
          </w:p>
        </w:tc>
        <w:tc>
          <w:tcPr>
            <w:tcW w:w="709" w:type="dxa"/>
            <w:tcBorders>
              <w:top w:val="single" w:color="auto" w:sz="4" w:space="0"/>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2</w:t>
            </w:r>
          </w:p>
        </w:tc>
        <w:tc>
          <w:tcPr>
            <w:tcW w:w="1134" w:type="dxa"/>
            <w:tcBorders>
              <w:top w:val="single" w:color="auto" w:sz="4" w:space="0"/>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8</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铸钢球阀</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32</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个</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7</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9</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压力传感器</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(-0.1 - 0 MPa)</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套</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10</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电接点压力表</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(-0.1 - 0 MPa)</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套</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11</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304无缝不锈钢管</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￠57×3.0</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m</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42</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lang w:eastAsia="zh-CN"/>
              </w:rPr>
              <w:t>根据铺设现场需要长度</w:t>
            </w:r>
          </w:p>
        </w:tc>
      </w:tr>
      <w:tr>
        <w:tblPrEx>
          <w:tblCellMar>
            <w:top w:w="0" w:type="dxa"/>
            <w:left w:w="108" w:type="dxa"/>
            <w:bottom w:w="0" w:type="dxa"/>
            <w:right w:w="108" w:type="dxa"/>
          </w:tblCellMar>
        </w:tblPrEx>
        <w:trPr>
          <w:trHeight w:val="55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12</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不锈钢管道连接配件</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法兰、弯头、软接头等</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项</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13</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控制电箱</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套</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14</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电源电缆线</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 xml:space="preserve">3x2.5+1x1.5 </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国标</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100</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lang w:eastAsia="zh-CN"/>
              </w:rPr>
              <w:t>根据铺设现场需要长度</w:t>
            </w: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15</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信号控制线</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3*0.5</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m</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lang w:val="en-US" w:eastAsia="zh-CN"/>
              </w:rPr>
              <w:t>10</w:t>
            </w:r>
            <w:r>
              <w:rPr>
                <w:rFonts w:hint="eastAsia" w:ascii="宋体" w:hAnsi="宋体" w:eastAsia="宋体" w:cs="宋体"/>
                <w:kern w:val="0"/>
                <w:szCs w:val="21"/>
              </w:rPr>
              <w:t>0</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lang w:eastAsia="zh-CN"/>
              </w:rPr>
              <w:t>根据铺设现场需要长度</w:t>
            </w: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16</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信号控制线</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3*1.0</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m</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lang w:val="en-US" w:eastAsia="zh-CN"/>
              </w:rPr>
              <w:t>5</w:t>
            </w:r>
            <w:r>
              <w:rPr>
                <w:rFonts w:hint="eastAsia" w:ascii="宋体" w:hAnsi="宋体" w:eastAsia="宋体" w:cs="宋体"/>
                <w:kern w:val="0"/>
                <w:szCs w:val="21"/>
              </w:rPr>
              <w:t>50</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hint="eastAsia" w:ascii="宋体" w:hAnsi="宋体" w:eastAsia="宋体" w:cs="宋体"/>
                <w:kern w:val="0"/>
                <w:szCs w:val="21"/>
                <w:lang w:eastAsia="zh-CN"/>
              </w:rPr>
            </w:pPr>
            <w:r>
              <w:rPr>
                <w:rFonts w:hint="eastAsia" w:ascii="宋体" w:hAnsi="宋体" w:eastAsia="宋体" w:cs="宋体"/>
                <w:kern w:val="0"/>
                <w:szCs w:val="21"/>
                <w:lang w:eastAsia="zh-CN"/>
              </w:rPr>
              <w:t>根据铺设现场需要长度</w:t>
            </w:r>
          </w:p>
        </w:tc>
      </w:tr>
      <w:tr>
        <w:tblPrEx>
          <w:tblCellMar>
            <w:top w:w="0" w:type="dxa"/>
            <w:left w:w="108" w:type="dxa"/>
            <w:bottom w:w="0" w:type="dxa"/>
            <w:right w:w="108" w:type="dxa"/>
          </w:tblCellMar>
        </w:tblPrEx>
        <w:trPr>
          <w:trHeight w:val="55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17</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安装辅材</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ascii="宋体" w:hAnsi="宋体" w:eastAsia="宋体" w:cs="宋体"/>
                <w:kern w:val="0"/>
                <w:szCs w:val="21"/>
              </w:rPr>
            </w:pPr>
            <w:r>
              <w:rPr>
                <w:rFonts w:hint="eastAsia" w:ascii="宋体" w:hAnsi="宋体" w:eastAsia="宋体" w:cs="宋体"/>
                <w:kern w:val="0"/>
                <w:szCs w:val="21"/>
              </w:rPr>
              <w:t>螺栓、支架、线管、油漆等</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项</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r>
              <w:rPr>
                <w:rFonts w:hint="eastAsia" w:ascii="宋体" w:hAnsi="宋体" w:eastAsia="宋体" w:cs="宋体"/>
                <w:kern w:val="0"/>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ascii="宋体" w:hAnsi="宋体" w:eastAsia="宋体" w:cs="宋体"/>
                <w:kern w:val="0"/>
                <w:szCs w:val="21"/>
              </w:rPr>
            </w:pPr>
          </w:p>
        </w:tc>
      </w:tr>
      <w:tr>
        <w:tblPrEx>
          <w:tblCellMar>
            <w:top w:w="0" w:type="dxa"/>
            <w:left w:w="108" w:type="dxa"/>
            <w:bottom w:w="0" w:type="dxa"/>
            <w:right w:w="108" w:type="dxa"/>
          </w:tblCellMar>
        </w:tblPrEx>
        <w:trPr>
          <w:trHeight w:val="31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18</w:t>
            </w:r>
          </w:p>
        </w:tc>
        <w:tc>
          <w:tcPr>
            <w:tcW w:w="1980" w:type="dxa"/>
            <w:tcBorders>
              <w:top w:val="nil"/>
              <w:left w:val="nil"/>
              <w:bottom w:val="single" w:color="auto" w:sz="8" w:space="0"/>
              <w:right w:val="single" w:color="auto" w:sz="8" w:space="0"/>
            </w:tcBorders>
            <w:shd w:val="clear" w:color="auto" w:fill="auto"/>
            <w:vAlign w:val="center"/>
          </w:tcPr>
          <w:p>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远程监控系统硬件及软件</w:t>
            </w:r>
          </w:p>
        </w:tc>
        <w:tc>
          <w:tcPr>
            <w:tcW w:w="3972" w:type="dxa"/>
            <w:tcBorders>
              <w:top w:val="nil"/>
              <w:left w:val="nil"/>
              <w:bottom w:val="single" w:color="auto" w:sz="8" w:space="0"/>
              <w:right w:val="single" w:color="auto" w:sz="8" w:space="0"/>
            </w:tcBorders>
            <w:shd w:val="clear" w:color="auto" w:fill="auto"/>
            <w:vAlign w:val="center"/>
          </w:tcPr>
          <w:p>
            <w:pP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sz w:val="21"/>
                <w:szCs w:val="21"/>
              </w:rPr>
              <w:t>可实时监控：油环泵工作状态、负压值、报警信息、温度</w:t>
            </w:r>
            <w:r>
              <w:rPr>
                <w:rFonts w:hint="eastAsia" w:asciiTheme="minorEastAsia" w:hAnsiTheme="minorEastAsia" w:cstheme="minorEastAsia"/>
                <w:sz w:val="21"/>
                <w:szCs w:val="21"/>
                <w:lang w:eastAsia="zh-CN"/>
              </w:rPr>
              <w:t>等</w:t>
            </w:r>
            <w:r>
              <w:rPr>
                <w:rFonts w:hint="eastAsia" w:asciiTheme="minorEastAsia" w:hAnsiTheme="minorEastAsia" w:eastAsiaTheme="minorEastAsia" w:cstheme="minorEastAsia"/>
                <w:sz w:val="21"/>
                <w:szCs w:val="21"/>
              </w:rPr>
              <w:t>。工业专用计算机，cpu4核i</w:t>
            </w: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rPr>
              <w:t>以上，内存4g以上，使用固态存储500g以上，支持手机app监控功能。</w:t>
            </w:r>
          </w:p>
        </w:tc>
        <w:tc>
          <w:tcPr>
            <w:tcW w:w="432" w:type="dxa"/>
            <w:tcBorders>
              <w:top w:val="nil"/>
              <w:left w:val="nil"/>
              <w:bottom w:val="single" w:color="auto" w:sz="8" w:space="0"/>
              <w:right w:val="single" w:color="auto" w:sz="8" w:space="0"/>
            </w:tcBorders>
            <w:shd w:val="clear" w:color="auto" w:fill="auto"/>
            <w:noWrap/>
            <w:vAlign w:val="center"/>
          </w:tcPr>
          <w:p>
            <w:pPr>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 w:val="21"/>
                <w:szCs w:val="21"/>
                <w:lang w:eastAsia="zh-CN"/>
              </w:rPr>
              <w:t>套</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p>
        </w:tc>
      </w:tr>
      <w:tr>
        <w:tblPrEx>
          <w:tblCellMar>
            <w:top w:w="0" w:type="dxa"/>
            <w:left w:w="108" w:type="dxa"/>
            <w:bottom w:w="0" w:type="dxa"/>
            <w:right w:w="108" w:type="dxa"/>
          </w:tblCellMar>
        </w:tblPrEx>
        <w:trPr>
          <w:trHeight w:val="820" w:hRule="atLeast"/>
          <w:jc w:val="center"/>
        </w:trPr>
        <w:tc>
          <w:tcPr>
            <w:tcW w:w="608" w:type="dxa"/>
            <w:tcBorders>
              <w:top w:val="nil"/>
              <w:left w:val="single" w:color="auto" w:sz="8" w:space="0"/>
              <w:bottom w:val="single" w:color="auto" w:sz="8"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19</w:t>
            </w:r>
          </w:p>
        </w:tc>
        <w:tc>
          <w:tcPr>
            <w:tcW w:w="1980" w:type="dxa"/>
            <w:tcBorders>
              <w:top w:val="nil"/>
              <w:left w:val="nil"/>
              <w:bottom w:val="single" w:color="auto" w:sz="8" w:space="0"/>
              <w:right w:val="single" w:color="auto" w:sz="8" w:space="0"/>
            </w:tcBorders>
            <w:shd w:val="clear" w:color="auto" w:fill="auto"/>
            <w:vAlign w:val="center"/>
          </w:tcPr>
          <w:p>
            <w:pPr>
              <w:widowControl/>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与原管道对接（不锈钢管）</w:t>
            </w:r>
            <w:r>
              <w:rPr>
                <w:rFonts w:hint="eastAsia" w:asciiTheme="minorEastAsia" w:hAnsiTheme="minorEastAsia" w:cstheme="minorEastAsia"/>
                <w:kern w:val="0"/>
                <w:sz w:val="21"/>
                <w:szCs w:val="21"/>
                <w:lang w:eastAsia="zh-CN"/>
              </w:rPr>
              <w:t>、封堵</w:t>
            </w:r>
            <w:r>
              <w:rPr>
                <w:rFonts w:hint="eastAsia" w:asciiTheme="minorEastAsia" w:hAnsiTheme="minorEastAsia" w:eastAsiaTheme="minorEastAsia" w:cstheme="minorEastAsia"/>
                <w:kern w:val="0"/>
                <w:sz w:val="21"/>
                <w:szCs w:val="21"/>
              </w:rPr>
              <w:t>及配件</w:t>
            </w:r>
          </w:p>
        </w:tc>
        <w:tc>
          <w:tcPr>
            <w:tcW w:w="3972" w:type="dxa"/>
            <w:tcBorders>
              <w:top w:val="nil"/>
              <w:left w:val="nil"/>
              <w:bottom w:val="single" w:color="auto" w:sz="8" w:space="0"/>
              <w:right w:val="single" w:color="auto" w:sz="8" w:space="0"/>
            </w:tcBorders>
            <w:shd w:val="clear" w:color="auto" w:fill="auto"/>
            <w:vAlign w:val="center"/>
          </w:tcPr>
          <w:p>
            <w:pPr>
              <w:widowControl/>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￠42×2.5（室外管含地沟开挖与回填，含防腐）</w:t>
            </w:r>
            <w:r>
              <w:rPr>
                <w:rFonts w:hint="eastAsia" w:ascii="宋体" w:hAnsi="宋体"/>
                <w:sz w:val="24"/>
                <w:szCs w:val="24"/>
              </w:rPr>
              <w:t>（配套）</w:t>
            </w:r>
          </w:p>
        </w:tc>
        <w:tc>
          <w:tcPr>
            <w:tcW w:w="432" w:type="dxa"/>
            <w:tcBorders>
              <w:top w:val="nil"/>
              <w:left w:val="nil"/>
              <w:bottom w:val="single" w:color="auto" w:sz="8"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套</w:t>
            </w:r>
          </w:p>
        </w:tc>
        <w:tc>
          <w:tcPr>
            <w:tcW w:w="709" w:type="dxa"/>
            <w:tcBorders>
              <w:top w:val="nil"/>
              <w:left w:val="nil"/>
              <w:bottom w:val="single" w:color="auto" w:sz="8"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w:t>
            </w:r>
          </w:p>
        </w:tc>
        <w:tc>
          <w:tcPr>
            <w:tcW w:w="1134" w:type="dxa"/>
            <w:tcBorders>
              <w:top w:val="nil"/>
              <w:left w:val="nil"/>
              <w:bottom w:val="single" w:color="auto" w:sz="8"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p>
        </w:tc>
      </w:tr>
      <w:tr>
        <w:tblPrEx>
          <w:tblCellMar>
            <w:top w:w="0" w:type="dxa"/>
            <w:left w:w="108" w:type="dxa"/>
            <w:bottom w:w="0" w:type="dxa"/>
            <w:right w:w="108" w:type="dxa"/>
          </w:tblCellMar>
        </w:tblPrEx>
        <w:trPr>
          <w:trHeight w:val="820" w:hRule="atLeast"/>
          <w:jc w:val="center"/>
        </w:trPr>
        <w:tc>
          <w:tcPr>
            <w:tcW w:w="608" w:type="dxa"/>
            <w:tcBorders>
              <w:top w:val="nil"/>
              <w:left w:val="single" w:color="auto" w:sz="8" w:space="0"/>
              <w:bottom w:val="single" w:color="auto" w:sz="4" w:space="0"/>
              <w:right w:val="single" w:color="auto" w:sz="8" w:space="0"/>
            </w:tcBorders>
            <w:shd w:val="clear" w:color="auto" w:fill="auto"/>
            <w:noWrap/>
            <w:vAlign w:val="center"/>
          </w:tcPr>
          <w:p>
            <w:pPr>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20</w:t>
            </w:r>
          </w:p>
        </w:tc>
        <w:tc>
          <w:tcPr>
            <w:tcW w:w="1980" w:type="dxa"/>
            <w:tcBorders>
              <w:top w:val="nil"/>
              <w:left w:val="nil"/>
              <w:bottom w:val="single" w:color="auto" w:sz="4" w:space="0"/>
              <w:right w:val="single" w:color="auto" w:sz="8" w:space="0"/>
            </w:tcBorders>
            <w:shd w:val="clear" w:color="auto" w:fill="auto"/>
            <w:vAlign w:val="center"/>
          </w:tcPr>
          <w:p>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真空集污罐</w:t>
            </w:r>
          </w:p>
        </w:tc>
        <w:tc>
          <w:tcPr>
            <w:tcW w:w="3972" w:type="dxa"/>
            <w:tcBorders>
              <w:top w:val="nil"/>
              <w:left w:val="nil"/>
              <w:bottom w:val="single" w:color="auto" w:sz="4" w:space="0"/>
              <w:right w:val="single" w:color="auto" w:sz="8" w:space="0"/>
            </w:tcBorders>
            <w:shd w:val="clear" w:color="auto" w:fill="auto"/>
            <w:vAlign w:val="center"/>
          </w:tcPr>
          <w:p>
            <w:pPr>
              <w:rPr>
                <w:rFonts w:hint="default" w:asciiTheme="minorEastAsia" w:hAnsiTheme="minorEastAsia" w:eastAsiaTheme="minorEastAsia" w:cstheme="minorEastAsia"/>
                <w:kern w:val="2"/>
                <w:sz w:val="21"/>
                <w:szCs w:val="21"/>
                <w:lang w:val="en-US" w:eastAsia="zh-CN" w:bidi="ar-SA"/>
              </w:rPr>
            </w:pPr>
            <w:r>
              <w:rPr>
                <w:rFonts w:hint="eastAsia" w:ascii="宋体" w:hAnsi="宋体"/>
                <w:sz w:val="24"/>
                <w:szCs w:val="24"/>
              </w:rPr>
              <w:t>≥</w:t>
            </w:r>
            <w:r>
              <w:rPr>
                <w:rFonts w:hint="eastAsia" w:asciiTheme="minorEastAsia" w:hAnsiTheme="minorEastAsia" w:eastAsiaTheme="minorEastAsia" w:cstheme="minorEastAsia"/>
                <w:sz w:val="21"/>
                <w:szCs w:val="21"/>
                <w:lang w:val="en-US" w:eastAsia="zh-CN"/>
              </w:rPr>
              <w:t>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m3（配套）</w:t>
            </w:r>
            <w:r>
              <w:rPr>
                <w:rFonts w:hint="eastAsia" w:asciiTheme="minorEastAsia" w:hAnsiTheme="minorEastAsia" w:cstheme="minorEastAsia"/>
                <w:sz w:val="21"/>
                <w:szCs w:val="21"/>
                <w:lang w:val="en-US" w:eastAsia="zh-CN"/>
              </w:rPr>
              <w:t>,不锈钢材质，带有液位计及观察窗，带有排污口及阀门，集污罐单独提供装在储气罐前面。</w:t>
            </w:r>
          </w:p>
        </w:tc>
        <w:tc>
          <w:tcPr>
            <w:tcW w:w="432" w:type="dxa"/>
            <w:tcBorders>
              <w:top w:val="nil"/>
              <w:left w:val="nil"/>
              <w:bottom w:val="single" w:color="auto" w:sz="4" w:space="0"/>
              <w:right w:val="single" w:color="auto" w:sz="8" w:space="0"/>
            </w:tcBorders>
            <w:shd w:val="clear" w:color="auto" w:fill="auto"/>
            <w:noWrap/>
            <w:vAlign w:val="center"/>
          </w:tcPr>
          <w:p>
            <w:pPr>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个</w:t>
            </w:r>
          </w:p>
        </w:tc>
        <w:tc>
          <w:tcPr>
            <w:tcW w:w="709" w:type="dxa"/>
            <w:tcBorders>
              <w:top w:val="nil"/>
              <w:left w:val="nil"/>
              <w:bottom w:val="single" w:color="auto" w:sz="4"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w:t>
            </w:r>
          </w:p>
        </w:tc>
        <w:tc>
          <w:tcPr>
            <w:tcW w:w="1134" w:type="dxa"/>
            <w:tcBorders>
              <w:top w:val="nil"/>
              <w:left w:val="nil"/>
              <w:bottom w:val="single" w:color="auto" w:sz="4"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p>
        </w:tc>
      </w:tr>
      <w:tr>
        <w:tblPrEx>
          <w:tblCellMar>
            <w:top w:w="0" w:type="dxa"/>
            <w:left w:w="108" w:type="dxa"/>
            <w:bottom w:w="0" w:type="dxa"/>
            <w:right w:w="108" w:type="dxa"/>
          </w:tblCellMar>
        </w:tblPrEx>
        <w:trPr>
          <w:trHeight w:val="820" w:hRule="atLeast"/>
          <w:jc w:val="center"/>
        </w:trPr>
        <w:tc>
          <w:tcPr>
            <w:tcW w:w="608" w:type="dxa"/>
            <w:tcBorders>
              <w:top w:val="single" w:color="auto" w:sz="4" w:space="0"/>
              <w:left w:val="single" w:color="auto" w:sz="4" w:space="0"/>
              <w:bottom w:val="single" w:color="auto" w:sz="4" w:space="0"/>
              <w:right w:val="single" w:color="auto" w:sz="8" w:space="0"/>
            </w:tcBorders>
            <w:shd w:val="clear" w:color="auto" w:fill="auto"/>
            <w:noWrap/>
            <w:vAlign w:val="center"/>
          </w:tcPr>
          <w:p>
            <w:pPr>
              <w:jc w:val="center"/>
              <w:rPr>
                <w:rFonts w:hint="default" w:asciiTheme="minorEastAsia" w:hAnsiTheme="minorEastAsia" w:eastAsiaTheme="minorEastAsia" w:cstheme="minorEastAsia"/>
                <w:sz w:val="21"/>
                <w:szCs w:val="21"/>
                <w:lang w:val="en-US" w:eastAsia="zh-CN"/>
              </w:rPr>
            </w:pPr>
            <w:r>
              <w:rPr>
                <w:rFonts w:hint="eastAsia" w:asciiTheme="minorEastAsia" w:hAnsiTheme="minorEastAsia" w:cstheme="minorEastAsia"/>
                <w:sz w:val="21"/>
                <w:szCs w:val="21"/>
                <w:lang w:val="en-US" w:eastAsia="zh-CN"/>
              </w:rPr>
              <w:t>21</w:t>
            </w:r>
          </w:p>
        </w:tc>
        <w:tc>
          <w:tcPr>
            <w:tcW w:w="1980" w:type="dxa"/>
            <w:tcBorders>
              <w:top w:val="single" w:color="auto" w:sz="4" w:space="0"/>
              <w:left w:val="nil"/>
              <w:bottom w:val="single" w:color="auto" w:sz="4" w:space="0"/>
              <w:right w:val="single" w:color="auto" w:sz="8" w:space="0"/>
            </w:tcBorders>
            <w:shd w:val="clear" w:color="auto" w:fill="auto"/>
            <w:vAlign w:val="center"/>
          </w:tcPr>
          <w:p>
            <w:pPr>
              <w:rPr>
                <w:rFonts w:hint="eastAsia" w:ascii="宋体" w:hAnsi="宋体" w:eastAsiaTheme="minorEastAsia" w:cstheme="minorBidi"/>
                <w:kern w:val="2"/>
                <w:sz w:val="24"/>
                <w:szCs w:val="24"/>
                <w:lang w:val="en-US" w:eastAsia="zh-CN" w:bidi="ar-SA"/>
              </w:rPr>
            </w:pPr>
            <w:r>
              <w:rPr>
                <w:rFonts w:hint="eastAsia" w:ascii="宋体" w:hAnsi="宋体"/>
                <w:sz w:val="24"/>
                <w:szCs w:val="24"/>
              </w:rPr>
              <w:t>紫外线消毒装置</w:t>
            </w:r>
          </w:p>
        </w:tc>
        <w:tc>
          <w:tcPr>
            <w:tcW w:w="3972" w:type="dxa"/>
            <w:tcBorders>
              <w:top w:val="single" w:color="auto" w:sz="4" w:space="0"/>
              <w:left w:val="nil"/>
              <w:bottom w:val="single" w:color="auto" w:sz="4" w:space="0"/>
              <w:right w:val="single" w:color="auto" w:sz="8" w:space="0"/>
            </w:tcBorders>
            <w:shd w:val="clear" w:color="auto" w:fill="auto"/>
            <w:vAlign w:val="center"/>
          </w:tcPr>
          <w:p>
            <w:pPr>
              <w:numPr>
                <w:ilvl w:val="0"/>
                <w:numId w:val="1"/>
              </w:numPr>
              <w:rPr>
                <w:rFonts w:ascii="宋体" w:hAnsi="宋体"/>
                <w:sz w:val="24"/>
                <w:szCs w:val="24"/>
              </w:rPr>
            </w:pPr>
            <w:r>
              <w:rPr>
                <w:rFonts w:hint="eastAsia" w:ascii="宋体" w:hAnsi="宋体"/>
                <w:sz w:val="24"/>
                <w:szCs w:val="24"/>
              </w:rPr>
              <w:t>灭除负压</w:t>
            </w:r>
            <w:r>
              <w:rPr>
                <w:rFonts w:hint="eastAsia" w:ascii="宋体" w:hAnsi="宋体"/>
                <w:sz w:val="24"/>
                <w:szCs w:val="24"/>
                <w:lang w:eastAsia="zh-CN"/>
              </w:rPr>
              <w:t>缓冲罐</w:t>
            </w:r>
            <w:r>
              <w:rPr>
                <w:rFonts w:hint="eastAsia" w:ascii="宋体" w:hAnsi="宋体"/>
                <w:sz w:val="24"/>
                <w:szCs w:val="24"/>
              </w:rPr>
              <w:t>气体中的细菌及</w:t>
            </w:r>
            <w:r>
              <w:rPr>
                <w:rFonts w:hint="eastAsia" w:ascii="宋体" w:hAnsi="宋体"/>
                <w:sz w:val="24"/>
                <w:szCs w:val="24"/>
                <w:lang w:eastAsia="zh-CN"/>
              </w:rPr>
              <w:t>病毒</w:t>
            </w:r>
            <w:r>
              <w:rPr>
                <w:rFonts w:hint="eastAsia" w:ascii="宋体" w:hAnsi="宋体"/>
                <w:sz w:val="24"/>
                <w:szCs w:val="24"/>
              </w:rPr>
              <w:t>；</w:t>
            </w:r>
          </w:p>
          <w:p>
            <w:pPr>
              <w:numPr>
                <w:ilvl w:val="0"/>
                <w:numId w:val="1"/>
              </w:numPr>
              <w:ind w:left="0" w:leftChars="0" w:firstLine="0" w:firstLineChars="0"/>
              <w:rPr>
                <w:rFonts w:hint="eastAsia" w:ascii="宋体" w:hAnsi="宋体" w:eastAsiaTheme="minorEastAsia" w:cstheme="minorBidi"/>
                <w:kern w:val="2"/>
                <w:sz w:val="24"/>
                <w:szCs w:val="24"/>
                <w:lang w:val="en-US" w:eastAsia="zh-CN" w:bidi="ar-SA"/>
              </w:rPr>
            </w:pPr>
            <w:r>
              <w:rPr>
                <w:rFonts w:ascii="宋体" w:hAnsi="宋体"/>
                <w:sz w:val="24"/>
                <w:szCs w:val="24"/>
              </w:rPr>
              <w:t>300W</w:t>
            </w:r>
            <w:r>
              <w:rPr>
                <w:rFonts w:hint="eastAsia" w:ascii="宋体" w:hAnsi="宋体"/>
                <w:sz w:val="24"/>
                <w:szCs w:val="24"/>
              </w:rPr>
              <w:t>，</w:t>
            </w:r>
            <w:r>
              <w:rPr>
                <w:rFonts w:ascii="宋体" w:hAnsi="宋体"/>
                <w:sz w:val="24"/>
                <w:szCs w:val="24"/>
              </w:rPr>
              <w:t>AC220V</w:t>
            </w:r>
            <w:r>
              <w:rPr>
                <w:rFonts w:hint="eastAsia" w:ascii="宋体" w:hAnsi="宋体"/>
                <w:sz w:val="24"/>
                <w:szCs w:val="24"/>
              </w:rPr>
              <w:t>。</w:t>
            </w:r>
            <w:r>
              <w:rPr>
                <w:rFonts w:hint="eastAsia" w:asciiTheme="minorEastAsia" w:hAnsiTheme="minorEastAsia" w:eastAsiaTheme="minorEastAsia" w:cstheme="minorEastAsia"/>
                <w:sz w:val="21"/>
                <w:szCs w:val="21"/>
              </w:rPr>
              <w:t>（配套）</w:t>
            </w:r>
          </w:p>
        </w:tc>
        <w:tc>
          <w:tcPr>
            <w:tcW w:w="432" w:type="dxa"/>
            <w:tcBorders>
              <w:top w:val="single" w:color="auto" w:sz="4" w:space="0"/>
              <w:left w:val="nil"/>
              <w:bottom w:val="single" w:color="auto" w:sz="4"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rPr>
              <w:t>套</w:t>
            </w:r>
          </w:p>
        </w:tc>
        <w:tc>
          <w:tcPr>
            <w:tcW w:w="709" w:type="dxa"/>
            <w:tcBorders>
              <w:top w:val="single" w:color="auto" w:sz="4" w:space="0"/>
              <w:left w:val="nil"/>
              <w:bottom w:val="single" w:color="auto" w:sz="4" w:space="0"/>
              <w:right w:val="single" w:color="auto" w:sz="8"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rPr>
              <w:t>1</w:t>
            </w:r>
          </w:p>
        </w:tc>
        <w:tc>
          <w:tcPr>
            <w:tcW w:w="1134"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hint="eastAsia" w:asciiTheme="minorEastAsia" w:hAnsiTheme="minorEastAsia" w:eastAsiaTheme="minorEastAsia" w:cstheme="minorEastAsia"/>
                <w:kern w:val="0"/>
                <w:sz w:val="21"/>
                <w:szCs w:val="21"/>
              </w:rPr>
            </w:pPr>
          </w:p>
        </w:tc>
      </w:tr>
    </w:tbl>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000000"/>
          <w:sz w:val="24"/>
          <w:szCs w:val="24"/>
        </w:rPr>
      </w:pPr>
      <w:r>
        <w:rPr>
          <w:rFonts w:hint="eastAsia" w:asciiTheme="minorEastAsia" w:hAnsiTheme="minorEastAsia" w:eastAsiaTheme="minorEastAsia" w:cstheme="minorEastAsia"/>
          <w:b w:val="0"/>
          <w:bCs w:val="0"/>
          <w:color w:val="000000"/>
          <w:sz w:val="24"/>
          <w:szCs w:val="24"/>
          <w:lang w:val="en-US" w:eastAsia="zh-CN"/>
        </w:rPr>
        <w:t>13、</w:t>
      </w:r>
      <w:r>
        <w:rPr>
          <w:rFonts w:hint="eastAsia" w:asciiTheme="minorEastAsia" w:hAnsiTheme="minorEastAsia" w:eastAsiaTheme="minorEastAsia" w:cstheme="minorEastAsia"/>
          <w:b w:val="0"/>
          <w:bCs w:val="0"/>
          <w:color w:val="000000"/>
          <w:sz w:val="24"/>
          <w:szCs w:val="24"/>
        </w:rPr>
        <w:t>合同签订生效后</w:t>
      </w:r>
      <w:r>
        <w:rPr>
          <w:rFonts w:hint="eastAsia" w:asciiTheme="minorEastAsia" w:hAnsiTheme="minorEastAsia" w:eastAsiaTheme="minorEastAsia" w:cstheme="minorEastAsia"/>
          <w:b w:val="0"/>
          <w:bCs w:val="0"/>
          <w:color w:val="000000"/>
          <w:sz w:val="24"/>
          <w:szCs w:val="24"/>
          <w:lang w:val="en-US" w:eastAsia="zh-CN"/>
        </w:rPr>
        <w:t>60</w:t>
      </w:r>
      <w:r>
        <w:rPr>
          <w:rFonts w:hint="eastAsia" w:asciiTheme="minorEastAsia" w:hAnsiTheme="minorEastAsia" w:eastAsiaTheme="minorEastAsia" w:cstheme="minorEastAsia"/>
          <w:b w:val="0"/>
          <w:bCs w:val="0"/>
          <w:color w:val="000000"/>
          <w:sz w:val="24"/>
          <w:szCs w:val="24"/>
        </w:rPr>
        <w:t>天内完成供货、安装、改造、调试直至验收合格，并交付用户方使用</w:t>
      </w:r>
      <w:r>
        <w:rPr>
          <w:rFonts w:hint="eastAsia" w:asciiTheme="minorEastAsia" w:hAnsiTheme="minorEastAsia" w:cstheme="minorEastAsia"/>
          <w:b w:val="0"/>
          <w:bCs w:val="0"/>
          <w:color w:val="000000"/>
          <w:sz w:val="24"/>
          <w:szCs w:val="24"/>
          <w:lang w:eastAsia="zh-CN"/>
        </w:rPr>
        <w:t>。</w:t>
      </w:r>
      <w:r>
        <w:rPr>
          <w:rFonts w:hint="eastAsia" w:asciiTheme="minorEastAsia" w:hAnsiTheme="minorEastAsia" w:eastAsiaTheme="minorEastAsia" w:cstheme="minorEastAsia"/>
          <w:b w:val="0"/>
          <w:bCs w:val="0"/>
          <w:color w:val="000000"/>
          <w:sz w:val="24"/>
          <w:szCs w:val="24"/>
        </w:rPr>
        <w:t>交货地点：湛江中心人民医院内</w:t>
      </w:r>
      <w:r>
        <w:rPr>
          <w:rFonts w:hint="eastAsia" w:asciiTheme="minorEastAsia" w:hAnsiTheme="minorEastAsia" w:cstheme="minorEastAsia"/>
          <w:b w:val="0"/>
          <w:bCs w:val="0"/>
          <w:color w:val="000000"/>
          <w:sz w:val="24"/>
          <w:szCs w:val="24"/>
          <w:lang w:eastAsia="zh-CN"/>
        </w:rPr>
        <w:t>；</w:t>
      </w:r>
      <w:r>
        <w:rPr>
          <w:rFonts w:hint="eastAsia" w:asciiTheme="minorEastAsia" w:hAnsiTheme="minorEastAsia" w:eastAsiaTheme="minorEastAsia" w:cstheme="minorEastAsia"/>
          <w:b w:val="0"/>
          <w:bCs w:val="0"/>
          <w:color w:val="000000"/>
          <w:sz w:val="24"/>
          <w:szCs w:val="24"/>
        </w:rPr>
        <w:t>交货方式：送货上门。</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000000"/>
          <w:sz w:val="24"/>
          <w:szCs w:val="24"/>
          <w:lang w:eastAsia="zh-CN"/>
        </w:rPr>
      </w:pPr>
      <w:r>
        <w:rPr>
          <w:rFonts w:hint="eastAsia" w:asciiTheme="minorEastAsia" w:hAnsiTheme="minorEastAsia" w:eastAsiaTheme="minorEastAsia" w:cstheme="minorEastAsia"/>
          <w:b w:val="0"/>
          <w:bCs w:val="0"/>
          <w:color w:val="000000"/>
          <w:sz w:val="24"/>
          <w:szCs w:val="24"/>
        </w:rPr>
        <w:t>15、（1）价款及支付方式</w:t>
      </w:r>
      <w:r>
        <w:rPr>
          <w:rFonts w:hint="eastAsia" w:asciiTheme="minorEastAsia" w:hAnsiTheme="minorEastAsia" w:eastAsiaTheme="minorEastAsia" w:cstheme="minorEastAsia"/>
          <w:b w:val="0"/>
          <w:bCs w:val="0"/>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000000"/>
          <w:sz w:val="24"/>
          <w:szCs w:val="24"/>
        </w:rPr>
      </w:pPr>
      <w:r>
        <w:rPr>
          <w:rFonts w:hint="eastAsia" w:asciiTheme="minorEastAsia" w:hAnsiTheme="minorEastAsia" w:cstheme="minorEastAsia"/>
          <w:b w:val="0"/>
          <w:bCs w:val="0"/>
          <w:color w:val="000000"/>
          <w:sz w:val="24"/>
          <w:szCs w:val="24"/>
          <w:lang w:val="en-US" w:eastAsia="zh-CN"/>
        </w:rPr>
        <w:t>a.</w:t>
      </w:r>
      <w:r>
        <w:rPr>
          <w:rFonts w:hint="eastAsia" w:asciiTheme="minorEastAsia" w:hAnsiTheme="minorEastAsia" w:eastAsiaTheme="minorEastAsia" w:cstheme="minorEastAsia"/>
          <w:b w:val="0"/>
          <w:bCs w:val="0"/>
          <w:color w:val="000000"/>
          <w:sz w:val="24"/>
          <w:szCs w:val="24"/>
        </w:rPr>
        <w:t>本</w:t>
      </w:r>
      <w:r>
        <w:rPr>
          <w:rFonts w:hint="eastAsia" w:asciiTheme="minorEastAsia" w:hAnsiTheme="minorEastAsia" w:eastAsiaTheme="minorEastAsia" w:cstheme="minorEastAsia"/>
          <w:b w:val="0"/>
          <w:bCs w:val="0"/>
          <w:color w:val="000000"/>
          <w:sz w:val="24"/>
          <w:szCs w:val="24"/>
          <w:lang w:eastAsia="zh-CN"/>
        </w:rPr>
        <w:t>项目</w:t>
      </w:r>
      <w:r>
        <w:rPr>
          <w:rFonts w:hint="eastAsia" w:asciiTheme="minorEastAsia" w:hAnsiTheme="minorEastAsia" w:eastAsiaTheme="minorEastAsia" w:cstheme="minorEastAsia"/>
          <w:b w:val="0"/>
          <w:bCs w:val="0"/>
          <w:color w:val="000000"/>
          <w:sz w:val="24"/>
          <w:szCs w:val="24"/>
        </w:rPr>
        <w:t>总价为固定不变价，不因物价、工资、其他税费、汇率等之涨跌变动而调整，本</w:t>
      </w:r>
      <w:r>
        <w:rPr>
          <w:rFonts w:hint="eastAsia" w:asciiTheme="minorEastAsia" w:hAnsiTheme="minorEastAsia" w:eastAsiaTheme="minorEastAsia" w:cstheme="minorEastAsia"/>
          <w:b w:val="0"/>
          <w:bCs w:val="0"/>
          <w:color w:val="000000"/>
          <w:sz w:val="24"/>
          <w:szCs w:val="24"/>
          <w:lang w:eastAsia="zh-CN"/>
        </w:rPr>
        <w:t>项目</w:t>
      </w:r>
      <w:r>
        <w:rPr>
          <w:rFonts w:hint="eastAsia" w:asciiTheme="minorEastAsia" w:hAnsiTheme="minorEastAsia" w:eastAsiaTheme="minorEastAsia" w:cstheme="minorEastAsia"/>
          <w:b w:val="0"/>
          <w:bCs w:val="0"/>
          <w:color w:val="000000"/>
          <w:sz w:val="24"/>
          <w:szCs w:val="24"/>
        </w:rPr>
        <w:t>总价包括设备费、包装费、运输装卸费、人工、差旅、验收、技术服务、培训、保险、备件、相关税费及质保期内的维护保养等一切费用。除双方另有明确的书面约定外，</w:t>
      </w:r>
      <w:r>
        <w:rPr>
          <w:rFonts w:hint="eastAsia" w:asciiTheme="minorEastAsia" w:hAnsiTheme="minorEastAsia" w:eastAsiaTheme="minorEastAsia" w:cstheme="minorEastAsia"/>
          <w:b w:val="0"/>
          <w:bCs w:val="0"/>
          <w:color w:val="000000"/>
          <w:sz w:val="24"/>
          <w:szCs w:val="24"/>
          <w:lang w:eastAsia="zh-CN"/>
        </w:rPr>
        <w:t>采购人</w:t>
      </w:r>
      <w:r>
        <w:rPr>
          <w:rFonts w:hint="eastAsia" w:asciiTheme="minorEastAsia" w:hAnsiTheme="minorEastAsia" w:eastAsiaTheme="minorEastAsia" w:cstheme="minorEastAsia"/>
          <w:b w:val="0"/>
          <w:bCs w:val="0"/>
          <w:color w:val="000000"/>
          <w:sz w:val="24"/>
          <w:szCs w:val="24"/>
        </w:rPr>
        <w:t>无需为实现本合同项下之权益再向</w:t>
      </w:r>
      <w:r>
        <w:rPr>
          <w:rFonts w:hint="eastAsia" w:asciiTheme="minorEastAsia" w:hAnsiTheme="minorEastAsia" w:cstheme="minorEastAsia"/>
          <w:b w:val="0"/>
          <w:bCs w:val="0"/>
          <w:color w:val="000000"/>
          <w:sz w:val="24"/>
          <w:szCs w:val="24"/>
          <w:lang w:eastAsia="zh-CN"/>
        </w:rPr>
        <w:t>投标人或其他</w:t>
      </w:r>
      <w:r>
        <w:rPr>
          <w:rFonts w:hint="eastAsia" w:asciiTheme="minorEastAsia" w:hAnsiTheme="minorEastAsia" w:eastAsiaTheme="minorEastAsia" w:cstheme="minorEastAsia"/>
          <w:b w:val="0"/>
          <w:bCs w:val="0"/>
          <w:color w:val="000000"/>
          <w:sz w:val="24"/>
          <w:szCs w:val="24"/>
        </w:rPr>
        <w:t>任何</w:t>
      </w:r>
      <w:r>
        <w:rPr>
          <w:rFonts w:hint="eastAsia" w:asciiTheme="minorEastAsia" w:hAnsiTheme="minorEastAsia" w:cstheme="minorEastAsia"/>
          <w:b w:val="0"/>
          <w:bCs w:val="0"/>
          <w:color w:val="000000"/>
          <w:sz w:val="24"/>
          <w:szCs w:val="24"/>
          <w:lang w:eastAsia="zh-CN"/>
        </w:rPr>
        <w:t>第三方</w:t>
      </w:r>
      <w:r>
        <w:rPr>
          <w:rFonts w:hint="eastAsia" w:asciiTheme="minorEastAsia" w:hAnsiTheme="minorEastAsia" w:eastAsiaTheme="minorEastAsia" w:cstheme="minorEastAsia"/>
          <w:b w:val="0"/>
          <w:bCs w:val="0"/>
          <w:color w:val="000000"/>
          <w:sz w:val="24"/>
          <w:szCs w:val="24"/>
        </w:rPr>
        <w:t>支付其他任何款项。</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000000"/>
          <w:sz w:val="24"/>
          <w:szCs w:val="24"/>
        </w:rPr>
      </w:pPr>
      <w:r>
        <w:rPr>
          <w:rFonts w:hint="eastAsia" w:asciiTheme="minorEastAsia" w:hAnsiTheme="minorEastAsia" w:cstheme="minorEastAsia"/>
          <w:b w:val="0"/>
          <w:bCs w:val="0"/>
          <w:color w:val="000000"/>
          <w:sz w:val="24"/>
          <w:szCs w:val="24"/>
          <w:lang w:val="en-US" w:eastAsia="zh-CN"/>
        </w:rPr>
        <w:t>b.</w:t>
      </w:r>
      <w:r>
        <w:rPr>
          <w:rFonts w:hint="eastAsia" w:asciiTheme="minorEastAsia" w:hAnsiTheme="minorEastAsia" w:eastAsiaTheme="minorEastAsia" w:cstheme="minorEastAsia"/>
          <w:b w:val="0"/>
          <w:bCs w:val="0"/>
          <w:color w:val="000000"/>
          <w:sz w:val="24"/>
          <w:szCs w:val="24"/>
        </w:rPr>
        <w:t>合同项下全部货物经验收合格且达到正常使用状态</w:t>
      </w:r>
      <w:r>
        <w:rPr>
          <w:rFonts w:hint="eastAsia" w:asciiTheme="minorEastAsia" w:hAnsiTheme="minorEastAsia" w:eastAsiaTheme="minorEastAsia" w:cstheme="minorEastAsia"/>
          <w:b w:val="0"/>
          <w:bCs w:val="0"/>
          <w:color w:val="000000"/>
          <w:sz w:val="24"/>
          <w:szCs w:val="24"/>
          <w:lang w:val="en-US" w:eastAsia="zh-CN"/>
        </w:rPr>
        <w:t>3</w:t>
      </w:r>
      <w:r>
        <w:rPr>
          <w:rFonts w:hint="eastAsia" w:asciiTheme="minorEastAsia" w:hAnsiTheme="minorEastAsia" w:eastAsiaTheme="minorEastAsia" w:cstheme="minorEastAsia"/>
          <w:b w:val="0"/>
          <w:bCs w:val="0"/>
          <w:color w:val="000000"/>
          <w:sz w:val="24"/>
          <w:szCs w:val="24"/>
        </w:rPr>
        <w:t>个月内，</w:t>
      </w:r>
      <w:r>
        <w:rPr>
          <w:rFonts w:hint="eastAsia" w:asciiTheme="minorEastAsia" w:hAnsiTheme="minorEastAsia" w:cstheme="minorEastAsia"/>
          <w:b w:val="0"/>
          <w:bCs w:val="0"/>
          <w:color w:val="000000"/>
          <w:sz w:val="24"/>
          <w:szCs w:val="24"/>
          <w:lang w:eastAsia="zh-CN"/>
        </w:rPr>
        <w:t>投标人凭据</w:t>
      </w:r>
      <w:r>
        <w:rPr>
          <w:rFonts w:hint="eastAsia" w:ascii="宋体" w:hAnsi="宋体"/>
          <w:kern w:val="0"/>
          <w:sz w:val="24"/>
        </w:rPr>
        <w:t>开具</w:t>
      </w:r>
      <w:r>
        <w:rPr>
          <w:rFonts w:hint="eastAsia" w:ascii="宋体" w:hAnsi="宋体"/>
          <w:kern w:val="0"/>
          <w:sz w:val="24"/>
          <w:lang w:eastAsia="zh-CN"/>
        </w:rPr>
        <w:t>的</w:t>
      </w:r>
      <w:r>
        <w:rPr>
          <w:rFonts w:hint="eastAsia" w:ascii="宋体" w:hAnsi="宋体"/>
          <w:kern w:val="0"/>
          <w:sz w:val="24"/>
        </w:rPr>
        <w:t>合格</w:t>
      </w:r>
      <w:r>
        <w:rPr>
          <w:rFonts w:hint="eastAsia" w:ascii="宋体" w:hAnsi="宋体"/>
          <w:kern w:val="0"/>
          <w:sz w:val="24"/>
          <w:lang w:eastAsia="zh-CN"/>
        </w:rPr>
        <w:t>的</w:t>
      </w:r>
      <w:r>
        <w:rPr>
          <w:rFonts w:hint="eastAsia" w:ascii="宋体" w:hAnsi="宋体"/>
          <w:kern w:val="0"/>
          <w:sz w:val="24"/>
        </w:rPr>
        <w:t>全额发票</w:t>
      </w:r>
      <w:r>
        <w:rPr>
          <w:rFonts w:hint="eastAsia" w:ascii="宋体" w:hAnsi="宋体"/>
          <w:kern w:val="0"/>
          <w:sz w:val="24"/>
          <w:lang w:eastAsia="zh-CN"/>
        </w:rPr>
        <w:t>、合同和验收报告</w:t>
      </w:r>
      <w:r>
        <w:rPr>
          <w:rFonts w:hint="eastAsia" w:asciiTheme="minorEastAsia" w:hAnsiTheme="minorEastAsia" w:cstheme="minorEastAsia"/>
          <w:b w:val="0"/>
          <w:bCs w:val="0"/>
          <w:color w:val="000000"/>
          <w:sz w:val="24"/>
          <w:szCs w:val="24"/>
          <w:lang w:eastAsia="zh-CN"/>
        </w:rPr>
        <w:t>等</w:t>
      </w:r>
      <w:r>
        <w:rPr>
          <w:rFonts w:hint="eastAsia" w:asciiTheme="minorEastAsia" w:hAnsiTheme="minorEastAsia" w:eastAsiaTheme="minorEastAsia" w:cstheme="minorEastAsia"/>
          <w:b w:val="0"/>
          <w:bCs w:val="0"/>
          <w:color w:val="000000"/>
          <w:sz w:val="24"/>
          <w:szCs w:val="24"/>
        </w:rPr>
        <w:t>向</w:t>
      </w:r>
      <w:r>
        <w:rPr>
          <w:rFonts w:hint="eastAsia" w:asciiTheme="minorEastAsia" w:hAnsiTheme="minorEastAsia" w:cstheme="minorEastAsia"/>
          <w:b w:val="0"/>
          <w:bCs w:val="0"/>
          <w:color w:val="000000"/>
          <w:sz w:val="24"/>
          <w:szCs w:val="24"/>
          <w:lang w:eastAsia="zh-CN"/>
        </w:rPr>
        <w:t>采购人</w:t>
      </w:r>
      <w:r>
        <w:rPr>
          <w:rFonts w:hint="eastAsia" w:asciiTheme="minorEastAsia" w:hAnsiTheme="minorEastAsia" w:eastAsiaTheme="minorEastAsia" w:cstheme="minorEastAsia"/>
          <w:b w:val="0"/>
          <w:bCs w:val="0"/>
          <w:color w:val="000000"/>
          <w:sz w:val="24"/>
          <w:szCs w:val="24"/>
        </w:rPr>
        <w:t>申请支付合同总价款的</w:t>
      </w:r>
      <w:r>
        <w:rPr>
          <w:rFonts w:hint="eastAsia" w:asciiTheme="minorEastAsia" w:hAnsiTheme="minorEastAsia" w:eastAsiaTheme="minorEastAsia" w:cstheme="minorEastAsia"/>
          <w:b w:val="0"/>
          <w:bCs w:val="0"/>
          <w:color w:val="000000"/>
          <w:sz w:val="24"/>
          <w:szCs w:val="24"/>
          <w:lang w:val="en-US" w:eastAsia="zh-CN"/>
        </w:rPr>
        <w:t>90</w:t>
      </w:r>
      <w:r>
        <w:rPr>
          <w:rFonts w:hint="eastAsia" w:asciiTheme="minorEastAsia" w:hAnsiTheme="minorEastAsia" w:eastAsiaTheme="minorEastAsia" w:cstheme="minorEastAsia"/>
          <w:b w:val="0"/>
          <w:bCs w:val="0"/>
          <w:color w:val="000000"/>
          <w:sz w:val="24"/>
          <w:szCs w:val="24"/>
        </w:rPr>
        <w:t>%，保留合同总价款的</w:t>
      </w:r>
      <w:r>
        <w:rPr>
          <w:rFonts w:hint="eastAsia" w:asciiTheme="minorEastAsia" w:hAnsiTheme="minorEastAsia" w:eastAsiaTheme="minorEastAsia" w:cstheme="minorEastAsia"/>
          <w:b w:val="0"/>
          <w:bCs w:val="0"/>
          <w:color w:val="000000"/>
          <w:sz w:val="24"/>
          <w:szCs w:val="24"/>
          <w:lang w:val="en-US" w:eastAsia="zh-CN"/>
        </w:rPr>
        <w:t>10</w:t>
      </w:r>
      <w:r>
        <w:rPr>
          <w:rFonts w:hint="eastAsia" w:asciiTheme="minorEastAsia" w:hAnsiTheme="minorEastAsia" w:eastAsiaTheme="minorEastAsia" w:cstheme="minorEastAsia"/>
          <w:b w:val="0"/>
          <w:bCs w:val="0"/>
          <w:color w:val="000000"/>
          <w:sz w:val="24"/>
          <w:szCs w:val="24"/>
        </w:rPr>
        <w:t xml:space="preserve">%作为质保金，至质保期满且货物无质量问题时，扣除相应款项后（如有）无息支付。 </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000000"/>
          <w:sz w:val="24"/>
          <w:szCs w:val="24"/>
        </w:rPr>
      </w:pPr>
      <w:r>
        <w:rPr>
          <w:rFonts w:hint="eastAsia" w:asciiTheme="minorEastAsia" w:hAnsiTheme="minorEastAsia" w:eastAsiaTheme="minorEastAsia" w:cstheme="minorEastAsia"/>
          <w:b w:val="0"/>
          <w:bCs w:val="0"/>
          <w:color w:val="000000"/>
          <w:sz w:val="24"/>
          <w:szCs w:val="24"/>
        </w:rPr>
        <w:t>（2）结算方式：中标人指定银行转账方式</w:t>
      </w:r>
      <w:r>
        <w:rPr>
          <w:rFonts w:hint="eastAsia" w:asciiTheme="minorEastAsia" w:hAnsiTheme="minorEastAsia" w:eastAsiaTheme="minorEastAsia" w:cstheme="minorEastAsia"/>
          <w:b w:val="0"/>
          <w:bCs w:val="0"/>
          <w:color w:val="000000"/>
          <w:spacing w:val="-6"/>
          <w:sz w:val="24"/>
          <w:szCs w:val="24"/>
        </w:rPr>
        <w:t>结算。</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三、投标人资格要求：</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zh-CN"/>
        </w:rPr>
      </w:pPr>
      <w:r>
        <w:rPr>
          <w:rFonts w:hint="eastAsia" w:asciiTheme="minorEastAsia" w:hAnsiTheme="minorEastAsia" w:eastAsiaTheme="minorEastAsia" w:cstheme="minorEastAsia"/>
          <w:b w:val="0"/>
          <w:bCs w:val="0"/>
          <w:color w:val="auto"/>
          <w:sz w:val="24"/>
          <w:szCs w:val="24"/>
        </w:rPr>
        <w:t>1、</w:t>
      </w:r>
      <w:r>
        <w:rPr>
          <w:rFonts w:hint="eastAsia" w:asciiTheme="minorEastAsia" w:hAnsiTheme="minorEastAsia" w:eastAsiaTheme="minorEastAsia" w:cstheme="minorEastAsia"/>
          <w:b w:val="0"/>
          <w:bCs w:val="0"/>
          <w:color w:val="auto"/>
          <w:sz w:val="24"/>
          <w:szCs w:val="24"/>
          <w:lang w:val="zh-CN"/>
        </w:rPr>
        <w:t>投标人具备《政府采购法》第二十二条规定的条件,且提供以下证明文件：</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zh-CN"/>
        </w:rPr>
      </w:pPr>
      <w:r>
        <w:rPr>
          <w:rFonts w:hint="eastAsia" w:asciiTheme="minorEastAsia" w:hAnsiTheme="minorEastAsia" w:eastAsiaTheme="minorEastAsia" w:cstheme="minorEastAsia"/>
          <w:b w:val="0"/>
          <w:bCs w:val="0"/>
          <w:color w:val="auto"/>
          <w:sz w:val="24"/>
          <w:szCs w:val="24"/>
          <w:lang w:val="zh-CN"/>
        </w:rPr>
        <w:t>（1）在中华人民共和国境内注册的具有独立承担民事责任能力的法人或其他组织（提供法人或其他组织的营业执照副本复印件或相关的有效证明文件）</w:t>
      </w:r>
      <w:r>
        <w:rPr>
          <w:rFonts w:hint="eastAsia" w:asciiTheme="minorEastAsia" w:hAnsiTheme="minorEastAsia" w:cstheme="minorEastAsia"/>
          <w:b w:val="0"/>
          <w:bCs w:val="0"/>
          <w:color w:val="auto"/>
          <w:sz w:val="24"/>
          <w:szCs w:val="24"/>
          <w:lang w:val="zh-CN"/>
        </w:rPr>
        <w:t>。</w:t>
      </w:r>
      <w:r>
        <w:rPr>
          <w:rFonts w:hint="eastAsia" w:asciiTheme="minorEastAsia" w:hAnsiTheme="minorEastAsia" w:eastAsiaTheme="minorEastAsia" w:cstheme="minorEastAsia"/>
          <w:b w:val="0"/>
          <w:bCs w:val="0"/>
          <w:color w:val="auto"/>
          <w:sz w:val="24"/>
          <w:szCs w:val="24"/>
          <w:lang w:val="zh-CN"/>
        </w:rPr>
        <w:t xml:space="preserve"> </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zh-CN"/>
        </w:rPr>
      </w:pPr>
      <w:r>
        <w:rPr>
          <w:rFonts w:hint="eastAsia" w:asciiTheme="minorEastAsia" w:hAnsiTheme="minorEastAsia" w:eastAsiaTheme="minorEastAsia" w:cstheme="minorEastAsia"/>
          <w:b w:val="0"/>
          <w:bCs w:val="0"/>
          <w:color w:val="auto"/>
          <w:sz w:val="24"/>
          <w:szCs w:val="24"/>
          <w:lang w:val="zh-CN"/>
        </w:rPr>
        <w:t>（2）2017年至2019年度内任意一年的年度财务报表(新成立公司提供成立至今的月或季度财务报表复印件)或银行出具的资信证明</w:t>
      </w:r>
      <w:r>
        <w:rPr>
          <w:rFonts w:hint="eastAsia" w:asciiTheme="minorEastAsia" w:hAnsiTheme="minorEastAsia" w:cstheme="minorEastAsia"/>
          <w:b w:val="0"/>
          <w:bCs w:val="0"/>
          <w:color w:val="auto"/>
          <w:sz w:val="24"/>
          <w:szCs w:val="24"/>
          <w:lang w:val="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zh-CN"/>
        </w:rPr>
      </w:pPr>
      <w:r>
        <w:rPr>
          <w:rFonts w:hint="eastAsia" w:asciiTheme="minorEastAsia" w:hAnsiTheme="minorEastAsia" w:eastAsiaTheme="minorEastAsia" w:cstheme="minorEastAsia"/>
          <w:b w:val="0"/>
          <w:bCs w:val="0"/>
          <w:color w:val="auto"/>
          <w:sz w:val="24"/>
          <w:szCs w:val="24"/>
          <w:lang w:val="zh-CN"/>
        </w:rPr>
        <w:t>（3）投标截止时间前一年内任意一个月的依法缴纳税收证明材料（如依法免税，则须提供相应文件证明其依法免税）</w:t>
      </w:r>
      <w:r>
        <w:rPr>
          <w:rFonts w:hint="eastAsia" w:asciiTheme="minorEastAsia" w:hAnsiTheme="minorEastAsia" w:cstheme="minorEastAsia"/>
          <w:b w:val="0"/>
          <w:bCs w:val="0"/>
          <w:color w:val="auto"/>
          <w:sz w:val="24"/>
          <w:szCs w:val="24"/>
          <w:lang w:val="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zh-CN"/>
        </w:rPr>
      </w:pPr>
      <w:r>
        <w:rPr>
          <w:rFonts w:hint="eastAsia" w:asciiTheme="minorEastAsia" w:hAnsiTheme="minorEastAsia" w:eastAsiaTheme="minorEastAsia" w:cstheme="minorEastAsia"/>
          <w:b w:val="0"/>
          <w:bCs w:val="0"/>
          <w:color w:val="auto"/>
          <w:sz w:val="24"/>
          <w:szCs w:val="24"/>
          <w:lang w:val="zh-CN"/>
        </w:rPr>
        <w:t>（4）投标截止时间前一年内任意一个月的依法缴纳社会保险凭据（如依法不需要缴纳社保，则须提供相应文件证明其依法不需要缴纳）。</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zh-CN"/>
        </w:rPr>
      </w:pPr>
      <w:r>
        <w:rPr>
          <w:rFonts w:hint="eastAsia" w:asciiTheme="minorEastAsia" w:hAnsiTheme="minorEastAsia" w:eastAsiaTheme="minorEastAsia" w:cstheme="minorEastAsia"/>
          <w:b w:val="0"/>
          <w:bCs w:val="0"/>
          <w:color w:val="auto"/>
          <w:sz w:val="24"/>
          <w:szCs w:val="24"/>
          <w:lang w:val="zh-CN"/>
        </w:rPr>
        <w:t>（5）履行合同所必需的设备和专业技术能力的证明材料或书面声明</w:t>
      </w:r>
      <w:r>
        <w:rPr>
          <w:rFonts w:hint="eastAsia" w:asciiTheme="minorEastAsia" w:hAnsiTheme="minorEastAsia" w:cstheme="minorEastAsia"/>
          <w:b w:val="0"/>
          <w:bCs w:val="0"/>
          <w:color w:val="auto"/>
          <w:sz w:val="24"/>
          <w:szCs w:val="24"/>
          <w:lang w:val="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zh-CN"/>
        </w:rPr>
        <w:t>（6）参加政府采购活动前3年内在经营活动中没有重大违法记录的书面声明。</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rPr>
        <w:t>2、须具有《医疗器械生产企业许可证》或《医疗器械经营企业许可证》或《医疗器械经营备案凭证》。</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3、如果所投产品隶属医疗器械管理的，须提供产品的医疗器械备案凭证；或提供产品的医疗器械注册证、医疗器械产品注册登记表或医疗器械产品生产制造认可表（若供应商已办理二证合一，则只需提供医疗器械注册证）。</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4、</w:t>
      </w:r>
      <w:r>
        <w:rPr>
          <w:rFonts w:hint="eastAsia" w:asciiTheme="minorEastAsia" w:hAnsiTheme="minorEastAsia" w:eastAsiaTheme="minorEastAsia" w:cstheme="minorEastAsia"/>
          <w:b w:val="0"/>
          <w:bCs w:val="0"/>
          <w:color w:val="auto"/>
          <w:sz w:val="24"/>
          <w:szCs w:val="24"/>
          <w:lang w:val="en-US" w:eastAsia="zh-CN"/>
        </w:rPr>
        <w:t>须具有压力管道安装改造维修许可证</w:t>
      </w:r>
      <w:r>
        <w:rPr>
          <w:rFonts w:hint="eastAsia" w:asciiTheme="minorEastAsia" w:hAnsiTheme="minorEastAsia" w:eastAsiaTheme="minorEastAsia" w:cstheme="minorEastAsia"/>
          <w:b w:val="0"/>
          <w:bCs w:val="0"/>
          <w:color w:val="auto"/>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val="en-US" w:eastAsia="zh-CN"/>
        </w:rPr>
        <w:t>5、</w:t>
      </w:r>
      <w:r>
        <w:rPr>
          <w:rFonts w:hint="eastAsia" w:asciiTheme="minorEastAsia" w:hAnsiTheme="minorEastAsia" w:eastAsiaTheme="minorEastAsia" w:cstheme="minorEastAsia"/>
          <w:b w:val="0"/>
          <w:bCs w:val="0"/>
          <w:color w:val="auto"/>
          <w:sz w:val="24"/>
          <w:szCs w:val="24"/>
        </w:rPr>
        <w:t>投标人没有被列入失信被执行人、重大税收违法案件当事人名单、政府采购严重违法失信行为记录名单及其他不符合规定条件的供应商。[根据信用中国网站（www.creditchina.gov.cn）、中国政府采购网（www.ccgp.gov.cn）主体信用记录信息进行审查]</w:t>
      </w:r>
      <w:r>
        <w:rPr>
          <w:rFonts w:hint="eastAsia" w:asciiTheme="minorEastAsia" w:hAnsiTheme="minorEastAsia" w:cstheme="minorEastAsia"/>
          <w:b w:val="0"/>
          <w:bCs w:val="0"/>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6</w:t>
      </w:r>
      <w:r>
        <w:rPr>
          <w:rFonts w:hint="eastAsia" w:asciiTheme="minorEastAsia" w:hAnsiTheme="minorEastAsia" w:eastAsiaTheme="minorEastAsia" w:cstheme="minorEastAsia"/>
          <w:b w:val="0"/>
          <w:bCs w:val="0"/>
          <w:color w:val="auto"/>
          <w:sz w:val="24"/>
          <w:szCs w:val="24"/>
        </w:rPr>
        <w:t>、</w:t>
      </w:r>
      <w:r>
        <w:rPr>
          <w:rFonts w:hint="eastAsia" w:asciiTheme="minorEastAsia" w:hAnsiTheme="minorEastAsia" w:eastAsiaTheme="minorEastAsia" w:cstheme="minorEastAsia"/>
          <w:b w:val="0"/>
          <w:bCs w:val="0"/>
          <w:color w:val="auto"/>
          <w:sz w:val="24"/>
          <w:szCs w:val="24"/>
          <w:lang w:val="zh-CN"/>
        </w:rPr>
        <w:t>单位负责人为同一人或者存在直接控股、管理关系的不同供应商，不得参加同一包号投标或者未划分包号的同一招标项目投标（投标人出具声明函）</w:t>
      </w:r>
      <w:r>
        <w:rPr>
          <w:rFonts w:hint="eastAsia" w:asciiTheme="minorEastAsia" w:hAnsiTheme="minorEastAsia" w:eastAsiaTheme="minorEastAsia" w:cstheme="minorEastAsia"/>
          <w:b w:val="0"/>
          <w:bCs w:val="0"/>
          <w:color w:val="auto"/>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7</w:t>
      </w:r>
      <w:r>
        <w:rPr>
          <w:rFonts w:hint="eastAsia" w:asciiTheme="minorEastAsia" w:hAnsiTheme="minorEastAsia" w:eastAsiaTheme="minorEastAsia" w:cstheme="minorEastAsia"/>
          <w:b w:val="0"/>
          <w:bCs w:val="0"/>
          <w:color w:val="auto"/>
          <w:sz w:val="24"/>
          <w:szCs w:val="24"/>
        </w:rPr>
        <w:t>、</w:t>
      </w:r>
      <w:r>
        <w:rPr>
          <w:rFonts w:hint="eastAsia" w:asciiTheme="minorEastAsia" w:hAnsiTheme="minorEastAsia" w:eastAsiaTheme="minorEastAsia" w:cstheme="minorEastAsia"/>
          <w:b w:val="0"/>
          <w:bCs w:val="0"/>
          <w:color w:val="auto"/>
          <w:sz w:val="24"/>
          <w:szCs w:val="24"/>
          <w:lang w:val="zh-CN"/>
        </w:rPr>
        <w:t>为采购项目提供整体设计、规范编制或者项目管理、监理、检测等服务的供应商，不得再参加该采购项目的其他采购活动（投标人出具声明函）</w:t>
      </w:r>
      <w:r>
        <w:rPr>
          <w:rFonts w:hint="eastAsia" w:asciiTheme="minorEastAsia" w:hAnsiTheme="minorEastAsia" w:cstheme="minorEastAsia"/>
          <w:b w:val="0"/>
          <w:bCs w:val="0"/>
          <w:color w:val="auto"/>
          <w:sz w:val="24"/>
          <w:szCs w:val="24"/>
          <w:lang w:val="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val="en-US" w:eastAsia="zh-CN"/>
        </w:rPr>
        <w:t>8</w:t>
      </w:r>
      <w:r>
        <w:rPr>
          <w:rFonts w:hint="eastAsia" w:asciiTheme="minorEastAsia" w:hAnsiTheme="minorEastAsia" w:eastAsiaTheme="minorEastAsia" w:cstheme="minorEastAsia"/>
          <w:b w:val="0"/>
          <w:bCs w:val="0"/>
          <w:color w:val="auto"/>
          <w:sz w:val="24"/>
          <w:szCs w:val="24"/>
        </w:rPr>
        <w:t>、已领购本次招标文件</w:t>
      </w:r>
      <w:r>
        <w:rPr>
          <w:rFonts w:hint="eastAsia" w:asciiTheme="minorEastAsia" w:hAnsiTheme="minorEastAsia" w:cstheme="minorEastAsia"/>
          <w:b w:val="0"/>
          <w:bCs w:val="0"/>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FF0000"/>
          <w:sz w:val="24"/>
          <w:szCs w:val="24"/>
          <w:lang w:eastAsia="zh-CN"/>
        </w:rPr>
      </w:pPr>
      <w:r>
        <w:rPr>
          <w:rFonts w:hint="eastAsia" w:asciiTheme="minorEastAsia" w:hAnsiTheme="minorEastAsia" w:eastAsiaTheme="minorEastAsia" w:cstheme="minorEastAsia"/>
          <w:b w:val="0"/>
          <w:bCs w:val="0"/>
          <w:color w:val="auto"/>
          <w:sz w:val="24"/>
          <w:szCs w:val="24"/>
          <w:lang w:val="en-US" w:eastAsia="zh-CN"/>
        </w:rPr>
        <w:t>9</w:t>
      </w:r>
      <w:r>
        <w:rPr>
          <w:rFonts w:hint="eastAsia" w:asciiTheme="minorEastAsia" w:hAnsiTheme="minorEastAsia" w:eastAsiaTheme="minorEastAsia" w:cstheme="minorEastAsia"/>
          <w:b w:val="0"/>
          <w:bCs w:val="0"/>
          <w:color w:val="auto"/>
          <w:sz w:val="24"/>
          <w:szCs w:val="24"/>
        </w:rPr>
        <w:t>、</w:t>
      </w:r>
      <w:r>
        <w:rPr>
          <w:rFonts w:hint="eastAsia" w:asciiTheme="minorEastAsia" w:hAnsiTheme="minorEastAsia" w:eastAsiaTheme="minorEastAsia" w:cstheme="minorEastAsia"/>
          <w:b w:val="0"/>
          <w:bCs w:val="0"/>
          <w:color w:val="auto"/>
          <w:sz w:val="24"/>
          <w:szCs w:val="24"/>
          <w:lang w:val="zh-CN"/>
        </w:rPr>
        <w:t>本项目不接受联合体投标</w:t>
      </w:r>
      <w:r>
        <w:rPr>
          <w:rFonts w:hint="eastAsia" w:asciiTheme="minorEastAsia" w:hAnsiTheme="minorEastAsia" w:eastAsiaTheme="minorEastAsia" w:cstheme="minorEastAsia"/>
          <w:b w:val="0"/>
          <w:bCs w:val="0"/>
          <w:color w:val="auto"/>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Theme="minorEastAsia" w:hAnsiTheme="minorEastAsia" w:eastAsiaTheme="minorEastAsia" w:cstheme="minorEastAsia"/>
          <w:b w:val="0"/>
          <w:bCs w:val="0"/>
          <w:color w:val="auto"/>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940A73"/>
    <w:multiLevelType w:val="multilevel"/>
    <w:tmpl w:val="3A940A73"/>
    <w:lvl w:ilvl="0" w:tentative="0">
      <w:start w:val="1"/>
      <w:numFmt w:val="decimal"/>
      <w:suff w:val="nothing"/>
      <w:lvlText w:val="%1、"/>
      <w:lvlJc w:val="left"/>
      <w:pPr>
        <w:ind w:left="0" w:firstLine="0"/>
      </w:pPr>
      <w:rPr>
        <w:rFonts w:hint="default" w:ascii="宋体" w:hAnsi="宋体" w:eastAsia="宋体"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8A5655"/>
    <w:rsid w:val="101848AC"/>
    <w:rsid w:val="103170EC"/>
    <w:rsid w:val="138A5655"/>
    <w:rsid w:val="166A5774"/>
    <w:rsid w:val="21737AE8"/>
    <w:rsid w:val="2F681B80"/>
    <w:rsid w:val="38CF5980"/>
    <w:rsid w:val="39494723"/>
    <w:rsid w:val="3ACA5683"/>
    <w:rsid w:val="415777B9"/>
    <w:rsid w:val="426D2541"/>
    <w:rsid w:val="452E1825"/>
    <w:rsid w:val="48470FD3"/>
    <w:rsid w:val="48EC6519"/>
    <w:rsid w:val="4B5A1EEA"/>
    <w:rsid w:val="591A4D38"/>
    <w:rsid w:val="5D8B5952"/>
    <w:rsid w:val="64163C07"/>
    <w:rsid w:val="6E103D9C"/>
    <w:rsid w:val="701B203D"/>
    <w:rsid w:val="78140B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Indent"/>
    <w:basedOn w:val="1"/>
    <w:qFormat/>
    <w:uiPriority w:val="0"/>
    <w:pPr>
      <w:ind w:firstLine="630"/>
    </w:pPr>
    <w:rPr>
      <w:rFonts w:ascii="楷体_GB2312" w:eastAsia="楷体_GB2312"/>
      <w:sz w:val="32"/>
      <w:szCs w:val="20"/>
    </w:rPr>
  </w:style>
  <w:style w:type="paragraph" w:styleId="5">
    <w:name w:val="Normal (Web)"/>
    <w:basedOn w:val="1"/>
    <w:qFormat/>
    <w:uiPriority w:val="0"/>
    <w:pPr>
      <w:spacing w:beforeAutospacing="1" w:afterAutospacing="1"/>
      <w:jc w:val="left"/>
    </w:pPr>
    <w:rPr>
      <w:rFonts w:cs="Times New Roman"/>
      <w:kern w:val="0"/>
      <w:sz w:val="24"/>
    </w:rPr>
  </w:style>
  <w:style w:type="paragraph" w:styleId="6">
    <w:name w:val="Body Text First Indent 2"/>
    <w:basedOn w:val="4"/>
    <w:qFormat/>
    <w:uiPriority w:val="0"/>
    <w:pPr>
      <w:widowControl/>
      <w:ind w:left="420" w:leftChars="200" w:firstLine="420" w:firstLineChars="200"/>
    </w:pPr>
    <w:rPr>
      <w:rFonts w:ascii="仿宋_GB2312" w:eastAsia="仿宋_GB2312"/>
      <w:color w:val="FF6600"/>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2020-07-22T02:27:00Z</dcterms:created>
  <dc:creator>煜昕乖乖TB</dc:creator>
  <cp:lastModifiedBy>煜昕乖乖TB</cp:lastModifiedBy>
  <dcterms:modified xsi:type="dcterms:W3CDTF">2020-10-22T03:23:50Z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