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1428" w:firstLineChars="395"/>
      </w:pPr>
      <w:r>
        <w:rPr>
          <w:rFonts w:hint="eastAsia" w:asciiTheme="minorEastAsia" w:hAnsiTheme="minorEastAsia"/>
          <w:b/>
          <w:sz w:val="36"/>
          <w:szCs w:val="36"/>
        </w:rPr>
        <w:t>感染科五层负压病房</w:t>
      </w:r>
      <w:r>
        <w:rPr>
          <w:rFonts w:hint="eastAsia"/>
          <w:b/>
          <w:sz w:val="36"/>
          <w:szCs w:val="36"/>
        </w:rPr>
        <w:t>增加配电的需求书</w:t>
      </w:r>
    </w:p>
    <w:p/>
    <w:p/>
    <w:p>
      <w:pPr>
        <w:rPr>
          <w:b/>
          <w:sz w:val="36"/>
          <w:szCs w:val="36"/>
        </w:rPr>
      </w:pPr>
      <w:r>
        <w:rPr>
          <w:rFonts w:hint="eastAsia"/>
          <w:b/>
          <w:sz w:val="36"/>
          <w:szCs w:val="36"/>
        </w:rPr>
        <w:t>一、</w:t>
      </w:r>
      <w:r>
        <w:rPr>
          <w:rFonts w:hint="eastAsia" w:cs="仿宋" w:asciiTheme="minorEastAsia" w:hAnsiTheme="minorEastAsia"/>
          <w:b/>
          <w:color w:val="000000"/>
          <w:sz w:val="36"/>
          <w:szCs w:val="36"/>
        </w:rPr>
        <w:t>项目简介</w:t>
      </w:r>
    </w:p>
    <w:p>
      <w:pPr>
        <w:ind w:firstLine="600" w:firstLineChars="200"/>
        <w:rPr>
          <w:sz w:val="28"/>
          <w:szCs w:val="28"/>
        </w:rPr>
      </w:pPr>
      <w:r>
        <w:rPr>
          <w:rFonts w:hint="eastAsia" w:asciiTheme="minorEastAsia" w:hAnsiTheme="minorEastAsia"/>
          <w:sz w:val="30"/>
          <w:szCs w:val="30"/>
        </w:rPr>
        <w:t>根据《综合医院“平疫结合”可转换病区建</w:t>
      </w:r>
      <w:bookmarkStart w:id="0" w:name="_GoBack"/>
      <w:bookmarkEnd w:id="0"/>
      <w:r>
        <w:rPr>
          <w:rFonts w:hint="eastAsia" w:asciiTheme="minorEastAsia" w:hAnsiTheme="minorEastAsia"/>
          <w:sz w:val="30"/>
          <w:szCs w:val="30"/>
        </w:rPr>
        <w:t>筑技术导则（试行）》（国卫办规划函【2020】663号）要求，为了提升感染科五层负压病房的用电等级及增加配电功率，</w:t>
      </w:r>
      <w:r>
        <w:rPr>
          <w:rFonts w:hint="eastAsia"/>
          <w:sz w:val="30"/>
          <w:szCs w:val="30"/>
        </w:rPr>
        <w:t>针对这次突如其来的新型冠状肺炎病毒肆虐，我们全国人民万众一心，共同抗疫，并从防控工作过程中累积了丰富的临床经验，对各种用电设备也提出了不同的需求。经过深入临床，亲临污染区病房采集数据，并积极主动与临床工作人员交流了解在实际使用中的需要及现状存在的缺陷和不安全性。其次，参考火神山、雷神山对电气设备的设计思路和指导思想，再综合我院在这次新型冠状肺炎防控中使用实际，从合理、科学、安全的角度定位感染科五层负压病房所有用电</w:t>
      </w:r>
      <w:r>
        <w:rPr>
          <w:rFonts w:hint="eastAsia" w:asciiTheme="minorEastAsia" w:hAnsiTheme="minorEastAsia"/>
          <w:sz w:val="30"/>
          <w:szCs w:val="30"/>
        </w:rPr>
        <w:t>增加配电功率</w:t>
      </w:r>
      <w:r>
        <w:rPr>
          <w:rFonts w:hint="eastAsia"/>
          <w:sz w:val="30"/>
          <w:szCs w:val="30"/>
        </w:rPr>
        <w:t>。现拟</w:t>
      </w:r>
      <w:r>
        <w:rPr>
          <w:rFonts w:hint="eastAsia" w:asciiTheme="minorEastAsia" w:hAnsiTheme="minorEastAsia"/>
          <w:sz w:val="30"/>
          <w:szCs w:val="30"/>
        </w:rPr>
        <w:t>在地下室1#低压配电房增加一个低压成套配电柜；在一层设计建设的负压吸引机房增加一个50KW配电箱（</w:t>
      </w:r>
      <w:r>
        <w:rPr>
          <w:rFonts w:hint="eastAsia" w:ascii="宋体" w:hAnsi="宋体" w:eastAsia="宋体"/>
          <w:sz w:val="30"/>
          <w:szCs w:val="30"/>
        </w:rPr>
        <w:t>Z9/1ZSAT3）</w:t>
      </w:r>
      <w:r>
        <w:rPr>
          <w:rFonts w:hint="eastAsia" w:asciiTheme="minorEastAsia" w:hAnsiTheme="minorEastAsia"/>
          <w:sz w:val="30"/>
          <w:szCs w:val="30"/>
        </w:rPr>
        <w:t>以及敷设相对应电缆。</w:t>
      </w:r>
    </w:p>
    <w:p>
      <w:pPr>
        <w:rPr>
          <w:b/>
          <w:sz w:val="36"/>
          <w:szCs w:val="36"/>
        </w:rPr>
      </w:pPr>
      <w:r>
        <w:rPr>
          <w:rFonts w:hint="eastAsia"/>
          <w:b/>
          <w:sz w:val="36"/>
          <w:szCs w:val="36"/>
        </w:rPr>
        <w:t>二、施工标准和依据</w:t>
      </w:r>
    </w:p>
    <w:p>
      <w:pPr>
        <w:tabs>
          <w:tab w:val="left" w:pos="600"/>
        </w:tabs>
        <w:rPr>
          <w:sz w:val="30"/>
          <w:szCs w:val="30"/>
        </w:rPr>
      </w:pPr>
      <w:r>
        <w:rPr>
          <w:sz w:val="30"/>
          <w:szCs w:val="30"/>
        </w:rPr>
        <w:tab/>
      </w:r>
      <w:r>
        <w:rPr>
          <w:rFonts w:hint="eastAsia"/>
          <w:sz w:val="30"/>
          <w:szCs w:val="30"/>
        </w:rPr>
        <w:t>1、《供配电系统设计规范》（GB50052--2009）</w:t>
      </w:r>
    </w:p>
    <w:p>
      <w:pPr>
        <w:tabs>
          <w:tab w:val="left" w:pos="600"/>
        </w:tabs>
        <w:rPr>
          <w:sz w:val="30"/>
          <w:szCs w:val="30"/>
        </w:rPr>
      </w:pPr>
      <w:r>
        <w:rPr>
          <w:sz w:val="30"/>
          <w:szCs w:val="30"/>
        </w:rPr>
        <w:tab/>
      </w:r>
      <w:r>
        <w:rPr>
          <w:rFonts w:hint="eastAsia"/>
          <w:sz w:val="30"/>
          <w:szCs w:val="30"/>
        </w:rPr>
        <w:t>2、《10KV及以下变电所设计规范》（GB50053--94）</w:t>
      </w:r>
    </w:p>
    <w:p>
      <w:pPr>
        <w:tabs>
          <w:tab w:val="left" w:pos="600"/>
        </w:tabs>
        <w:rPr>
          <w:sz w:val="30"/>
          <w:szCs w:val="30"/>
        </w:rPr>
      </w:pPr>
      <w:r>
        <w:rPr>
          <w:sz w:val="30"/>
          <w:szCs w:val="30"/>
        </w:rPr>
        <w:tab/>
      </w:r>
      <w:r>
        <w:rPr>
          <w:rFonts w:hint="eastAsia"/>
          <w:sz w:val="30"/>
          <w:szCs w:val="30"/>
        </w:rPr>
        <w:t>3、《低压配电设计规范》（GB50054--2011）</w:t>
      </w:r>
    </w:p>
    <w:p>
      <w:pPr>
        <w:tabs>
          <w:tab w:val="left" w:pos="600"/>
        </w:tabs>
        <w:rPr>
          <w:sz w:val="30"/>
          <w:szCs w:val="30"/>
        </w:rPr>
      </w:pPr>
      <w:r>
        <w:rPr>
          <w:sz w:val="30"/>
          <w:szCs w:val="30"/>
        </w:rPr>
        <w:tab/>
      </w:r>
      <w:r>
        <w:rPr>
          <w:rFonts w:hint="eastAsia"/>
          <w:sz w:val="30"/>
          <w:szCs w:val="30"/>
        </w:rPr>
        <w:t>4、《医疗建筑电气设计规范》（JGJ312--2013）</w:t>
      </w:r>
    </w:p>
    <w:p>
      <w:pPr>
        <w:tabs>
          <w:tab w:val="left" w:pos="600"/>
        </w:tabs>
        <w:rPr>
          <w:sz w:val="30"/>
          <w:szCs w:val="30"/>
        </w:rPr>
      </w:pPr>
      <w:r>
        <w:rPr>
          <w:rFonts w:hint="eastAsia"/>
          <w:sz w:val="30"/>
          <w:szCs w:val="30"/>
        </w:rPr>
        <w:t xml:space="preserve">    5、《综合布线系统工程设计规范》（GB50311--2016）</w:t>
      </w:r>
    </w:p>
    <w:p>
      <w:pPr>
        <w:tabs>
          <w:tab w:val="left" w:pos="600"/>
        </w:tabs>
        <w:rPr>
          <w:sz w:val="30"/>
          <w:szCs w:val="30"/>
        </w:rPr>
      </w:pPr>
      <w:r>
        <w:rPr>
          <w:sz w:val="30"/>
          <w:szCs w:val="30"/>
        </w:rPr>
        <w:tab/>
      </w:r>
      <w:r>
        <w:rPr>
          <w:rFonts w:hint="eastAsia"/>
          <w:sz w:val="30"/>
          <w:szCs w:val="30"/>
        </w:rPr>
        <w:t>6、《民用建筑电气设计规范》（JGJ16--2008）</w:t>
      </w:r>
    </w:p>
    <w:p>
      <w:pPr>
        <w:tabs>
          <w:tab w:val="left" w:pos="600"/>
        </w:tabs>
        <w:rPr>
          <w:rFonts w:hint="eastAsia"/>
          <w:sz w:val="30"/>
          <w:szCs w:val="30"/>
        </w:rPr>
      </w:pPr>
      <w:r>
        <w:rPr>
          <w:sz w:val="30"/>
          <w:szCs w:val="30"/>
        </w:rPr>
        <w:tab/>
      </w:r>
      <w:r>
        <w:rPr>
          <w:rFonts w:hint="eastAsia"/>
          <w:sz w:val="30"/>
          <w:szCs w:val="30"/>
        </w:rPr>
        <w:t>7、《建筑设计防火规范》（GB20016--2014）(2018年版)</w:t>
      </w:r>
    </w:p>
    <w:p>
      <w:pPr>
        <w:tabs>
          <w:tab w:val="left" w:pos="600"/>
        </w:tabs>
        <w:ind w:firstLine="600" w:firstLineChars="200"/>
        <w:rPr>
          <w:rFonts w:hint="eastAsia"/>
          <w:sz w:val="30"/>
          <w:szCs w:val="30"/>
        </w:rPr>
      </w:pPr>
      <w:r>
        <w:rPr>
          <w:rFonts w:hint="eastAsia"/>
          <w:sz w:val="30"/>
          <w:szCs w:val="30"/>
        </w:rPr>
        <w:t>8、《电力工程电缆设计规范》（GB50217--2007）</w:t>
      </w:r>
    </w:p>
    <w:p>
      <w:pPr>
        <w:tabs>
          <w:tab w:val="left" w:pos="600"/>
        </w:tabs>
        <w:ind w:firstLine="600" w:firstLineChars="200"/>
        <w:rPr>
          <w:rFonts w:hint="eastAsia"/>
          <w:sz w:val="30"/>
          <w:szCs w:val="30"/>
        </w:rPr>
      </w:pPr>
      <w:r>
        <w:rPr>
          <w:rFonts w:hint="eastAsia"/>
          <w:sz w:val="30"/>
          <w:szCs w:val="30"/>
        </w:rPr>
        <w:t>9、《交流电气装置的接地设计规范》（GB/T50065--2011）</w:t>
      </w:r>
    </w:p>
    <w:p>
      <w:pPr>
        <w:tabs>
          <w:tab w:val="left" w:pos="600"/>
        </w:tabs>
        <w:ind w:firstLine="600" w:firstLineChars="200"/>
        <w:rPr>
          <w:rFonts w:hint="eastAsia"/>
          <w:sz w:val="30"/>
          <w:szCs w:val="30"/>
        </w:rPr>
      </w:pPr>
      <w:r>
        <w:rPr>
          <w:rFonts w:hint="eastAsia"/>
          <w:sz w:val="30"/>
          <w:szCs w:val="30"/>
        </w:rPr>
        <w:t>10、《电力装置的继电保护和自动装置设计规范》（GB/T50062--2008）</w:t>
      </w:r>
    </w:p>
    <w:p>
      <w:pPr>
        <w:tabs>
          <w:tab w:val="left" w:pos="600"/>
        </w:tabs>
        <w:ind w:firstLine="600" w:firstLineChars="200"/>
        <w:rPr>
          <w:sz w:val="30"/>
          <w:szCs w:val="30"/>
        </w:rPr>
      </w:pPr>
      <w:r>
        <w:rPr>
          <w:rFonts w:hint="eastAsia"/>
          <w:sz w:val="30"/>
          <w:szCs w:val="30"/>
        </w:rPr>
        <w:t>11、《工程建筑标准强制性条文》</w:t>
      </w:r>
    </w:p>
    <w:p>
      <w:pPr>
        <w:tabs>
          <w:tab w:val="left" w:pos="600"/>
        </w:tabs>
        <w:rPr>
          <w:b/>
          <w:sz w:val="36"/>
          <w:szCs w:val="36"/>
        </w:rPr>
      </w:pPr>
      <w:r>
        <w:rPr>
          <w:rFonts w:hint="eastAsia"/>
          <w:b/>
          <w:sz w:val="36"/>
          <w:szCs w:val="36"/>
        </w:rPr>
        <w:t>三、项目内容和要求</w:t>
      </w:r>
    </w:p>
    <w:p>
      <w:pPr>
        <w:tabs>
          <w:tab w:val="left" w:pos="600"/>
        </w:tabs>
        <w:rPr>
          <w:b/>
          <w:sz w:val="30"/>
          <w:szCs w:val="30"/>
        </w:rPr>
      </w:pPr>
      <w:r>
        <w:rPr>
          <w:rFonts w:hint="eastAsia"/>
          <w:b/>
          <w:sz w:val="36"/>
          <w:szCs w:val="36"/>
        </w:rPr>
        <w:t xml:space="preserve">    </w:t>
      </w:r>
      <w:r>
        <w:rPr>
          <w:rFonts w:hint="eastAsia"/>
          <w:b/>
          <w:sz w:val="30"/>
          <w:szCs w:val="30"/>
        </w:rPr>
        <w:t>1、项目内容</w:t>
      </w:r>
    </w:p>
    <w:p>
      <w:pPr>
        <w:ind w:firstLine="300" w:firstLineChars="100"/>
        <w:rPr>
          <w:sz w:val="28"/>
          <w:szCs w:val="28"/>
        </w:rPr>
      </w:pPr>
      <w:r>
        <w:rPr>
          <w:rFonts w:hint="eastAsia"/>
          <w:sz w:val="30"/>
          <w:szCs w:val="30"/>
        </w:rPr>
        <w:t xml:space="preserve"> 1.1、</w:t>
      </w:r>
      <w:r>
        <w:rPr>
          <w:rFonts w:hint="eastAsia"/>
          <w:sz w:val="28"/>
          <w:szCs w:val="28"/>
        </w:rPr>
        <w:t>感染科五层楼顶空调与负压专用配电柜：从地下室1#配电房沿桥架敷设两条WDZ—YJV—0.6/1KV--4×300mm²+1×150mm²电缆至</w:t>
      </w:r>
      <w:r>
        <w:rPr>
          <w:sz w:val="28"/>
          <w:szCs w:val="28"/>
        </w:rPr>
        <w:t>5ATF2</w:t>
      </w:r>
      <w:r>
        <w:rPr>
          <w:rFonts w:hint="eastAsia"/>
          <w:sz w:val="28"/>
          <w:szCs w:val="28"/>
        </w:rPr>
        <w:t>配电柜，双回路供电，每条长度约215米。</w:t>
      </w:r>
    </w:p>
    <w:p>
      <w:pPr>
        <w:tabs>
          <w:tab w:val="left" w:pos="540"/>
        </w:tabs>
        <w:rPr>
          <w:sz w:val="30"/>
          <w:szCs w:val="30"/>
        </w:rPr>
      </w:pPr>
      <w:r>
        <w:rPr>
          <w:sz w:val="30"/>
          <w:szCs w:val="30"/>
        </w:rPr>
        <w:tab/>
      </w:r>
      <w:r>
        <w:rPr>
          <w:rFonts w:hint="eastAsia"/>
          <w:sz w:val="30"/>
          <w:szCs w:val="30"/>
        </w:rPr>
        <w:t>1.2、</w:t>
      </w:r>
      <w:r>
        <w:rPr>
          <w:rFonts w:hint="eastAsia"/>
          <w:sz w:val="28"/>
          <w:szCs w:val="28"/>
        </w:rPr>
        <w:t>在地下室1#配电房2号变压器一级特别重要负荷输出端增加一个低压</w:t>
      </w:r>
      <w:r>
        <w:rPr>
          <w:rFonts w:hint="eastAsia" w:asciiTheme="minorEastAsia" w:hAnsiTheme="minorEastAsia"/>
          <w:sz w:val="30"/>
          <w:szCs w:val="30"/>
        </w:rPr>
        <w:t>成套配电柜</w:t>
      </w:r>
      <w:r>
        <w:rPr>
          <w:rFonts w:hint="eastAsia"/>
          <w:sz w:val="28"/>
          <w:szCs w:val="28"/>
        </w:rPr>
        <w:t>，配置五个独立输出回路。</w:t>
      </w:r>
    </w:p>
    <w:p>
      <w:pPr>
        <w:tabs>
          <w:tab w:val="left" w:pos="540"/>
        </w:tabs>
        <w:rPr>
          <w:sz w:val="28"/>
          <w:szCs w:val="28"/>
        </w:rPr>
      </w:pPr>
      <w:r>
        <w:rPr>
          <w:sz w:val="30"/>
          <w:szCs w:val="30"/>
        </w:rPr>
        <w:tab/>
      </w:r>
      <w:r>
        <w:rPr>
          <w:rFonts w:hint="eastAsia"/>
          <w:sz w:val="30"/>
          <w:szCs w:val="30"/>
        </w:rPr>
        <w:t>1.3、</w:t>
      </w:r>
      <w:r>
        <w:rPr>
          <w:rFonts w:hint="eastAsia"/>
          <w:sz w:val="28"/>
          <w:szCs w:val="28"/>
        </w:rPr>
        <w:t>感染科一层负压吸引机房需增加一个功率为50KW</w:t>
      </w:r>
      <w:r>
        <w:rPr>
          <w:rFonts w:hint="eastAsia" w:ascii="宋体" w:hAnsi="宋体" w:eastAsia="宋体"/>
          <w:sz w:val="30"/>
          <w:szCs w:val="30"/>
        </w:rPr>
        <w:t xml:space="preserve"> （Z9/1ZSAT3）</w:t>
      </w:r>
      <w:r>
        <w:rPr>
          <w:rFonts w:hint="eastAsia"/>
          <w:sz w:val="28"/>
          <w:szCs w:val="28"/>
        </w:rPr>
        <w:t>配电箱，以放射式配置三个独立输出回路，其供电从空调与负压专用配电柜5ATF2备用开关驳接。</w:t>
      </w:r>
    </w:p>
    <w:p>
      <w:pPr>
        <w:tabs>
          <w:tab w:val="left" w:pos="540"/>
        </w:tabs>
        <w:ind w:firstLine="560" w:firstLineChars="200"/>
        <w:rPr>
          <w:sz w:val="30"/>
          <w:szCs w:val="30"/>
        </w:rPr>
      </w:pPr>
      <w:r>
        <w:rPr>
          <w:rFonts w:hint="eastAsia"/>
          <w:sz w:val="28"/>
          <w:szCs w:val="28"/>
        </w:rPr>
        <w:t>1.4、</w:t>
      </w:r>
      <w:r>
        <w:rPr>
          <w:rFonts w:hint="eastAsia" w:ascii="宋体" w:hAnsi="宋体" w:eastAsia="宋体"/>
          <w:sz w:val="30"/>
          <w:szCs w:val="30"/>
        </w:rPr>
        <w:t>Z9/1ZSAT3</w:t>
      </w:r>
      <w:r>
        <w:rPr>
          <w:rFonts w:hint="eastAsia" w:asciiTheme="minorEastAsia" w:hAnsiTheme="minorEastAsia"/>
          <w:sz w:val="30"/>
          <w:szCs w:val="30"/>
        </w:rPr>
        <w:t>配电箱：</w:t>
      </w:r>
      <w:r>
        <w:rPr>
          <w:rFonts w:hint="eastAsia"/>
          <w:sz w:val="28"/>
          <w:szCs w:val="28"/>
        </w:rPr>
        <w:t>从空调与负压专用配电柜5ATF2备用开关沿桥架敷设一条WDZ—YJV—0.6/1KV--4×35mm²+1×16mm²电缆至</w:t>
      </w:r>
      <w:r>
        <w:rPr>
          <w:sz w:val="28"/>
          <w:szCs w:val="28"/>
        </w:rPr>
        <w:t>Z9/</w:t>
      </w:r>
      <w:r>
        <w:rPr>
          <w:rFonts w:hint="eastAsia"/>
          <w:sz w:val="28"/>
          <w:szCs w:val="28"/>
        </w:rPr>
        <w:t>1ZS</w:t>
      </w:r>
      <w:r>
        <w:rPr>
          <w:sz w:val="28"/>
          <w:szCs w:val="28"/>
        </w:rPr>
        <w:t>AT</w:t>
      </w:r>
      <w:r>
        <w:rPr>
          <w:rFonts w:hint="eastAsia"/>
          <w:sz w:val="28"/>
          <w:szCs w:val="28"/>
        </w:rPr>
        <w:t>3配电箱，长度约138米。</w:t>
      </w:r>
    </w:p>
    <w:p>
      <w:pPr>
        <w:tabs>
          <w:tab w:val="left" w:pos="690"/>
        </w:tabs>
        <w:rPr>
          <w:b/>
          <w:sz w:val="30"/>
          <w:szCs w:val="30"/>
        </w:rPr>
      </w:pPr>
      <w:r>
        <w:rPr>
          <w:sz w:val="30"/>
          <w:szCs w:val="30"/>
        </w:rPr>
        <w:tab/>
      </w:r>
      <w:r>
        <w:rPr>
          <w:rFonts w:hint="eastAsia"/>
          <w:b/>
          <w:sz w:val="30"/>
          <w:szCs w:val="30"/>
        </w:rPr>
        <w:t>2、项目要求</w:t>
      </w:r>
    </w:p>
    <w:p>
      <w:pPr>
        <w:tabs>
          <w:tab w:val="left" w:pos="690"/>
        </w:tabs>
        <w:rPr>
          <w:sz w:val="30"/>
          <w:szCs w:val="30"/>
        </w:rPr>
      </w:pPr>
      <w:r>
        <w:rPr>
          <w:sz w:val="30"/>
          <w:szCs w:val="30"/>
        </w:rPr>
        <w:tab/>
      </w:r>
      <w:r>
        <w:rPr>
          <w:rFonts w:hint="eastAsia"/>
          <w:sz w:val="30"/>
          <w:szCs w:val="30"/>
        </w:rPr>
        <w:t>2.1、施工单位必须具有建委颁发的机电安装二级以上（含二级）资质。</w:t>
      </w:r>
    </w:p>
    <w:p>
      <w:pPr>
        <w:tabs>
          <w:tab w:val="left" w:pos="690"/>
        </w:tabs>
        <w:rPr>
          <w:sz w:val="30"/>
          <w:szCs w:val="30"/>
        </w:rPr>
      </w:pPr>
      <w:r>
        <w:rPr>
          <w:sz w:val="30"/>
          <w:szCs w:val="30"/>
        </w:rPr>
        <w:tab/>
      </w:r>
      <w:r>
        <w:rPr>
          <w:rFonts w:hint="eastAsia"/>
          <w:sz w:val="30"/>
          <w:szCs w:val="30"/>
        </w:rPr>
        <w:t>2.2、敷设电缆和安装配电箱必须符合电气等规范要求，详细见“施工标准和依据”。</w:t>
      </w:r>
    </w:p>
    <w:p>
      <w:pPr>
        <w:tabs>
          <w:tab w:val="left" w:pos="690"/>
        </w:tabs>
        <w:ind w:firstLine="600" w:firstLineChars="200"/>
        <w:rPr>
          <w:sz w:val="30"/>
          <w:szCs w:val="30"/>
        </w:rPr>
      </w:pPr>
      <w:r>
        <w:rPr>
          <w:rFonts w:hint="eastAsia"/>
          <w:sz w:val="30"/>
          <w:szCs w:val="30"/>
        </w:rPr>
        <w:t>2.3、配电箱元器件必须采用合资品牌：标准型施耐德、西门子或ABB；箱体配三相电源指示，三相电流、电压、功率、功率因数、计量、电气火灾等数显功能。所有电气元配件性能、安装必须符合电气规范要求。</w:t>
      </w:r>
    </w:p>
    <w:p>
      <w:pPr>
        <w:rPr>
          <w:sz w:val="30"/>
          <w:szCs w:val="30"/>
        </w:rPr>
      </w:pPr>
      <w:r>
        <w:rPr>
          <w:rFonts w:hint="eastAsia"/>
          <w:sz w:val="30"/>
          <w:szCs w:val="30"/>
        </w:rPr>
        <w:t xml:space="preserve">    2.4、所有施工项目质保期为三年。</w:t>
      </w:r>
    </w:p>
    <w:p>
      <w:pPr>
        <w:tabs>
          <w:tab w:val="left" w:pos="630"/>
        </w:tabs>
        <w:rPr>
          <w:sz w:val="30"/>
          <w:szCs w:val="30"/>
        </w:rPr>
      </w:pPr>
      <w:r>
        <w:rPr>
          <w:sz w:val="30"/>
          <w:szCs w:val="30"/>
        </w:rPr>
        <w:tab/>
      </w:r>
      <w:r>
        <w:rPr>
          <w:rFonts w:hint="eastAsia"/>
          <w:sz w:val="30"/>
          <w:szCs w:val="30"/>
        </w:rPr>
        <w:t>2.5、施工单位在质保期出现故障报修时，需半小时内响应，2小时内故障处理完毕，重大故障必须在12小时内解决并恢复正常供电。每违约一次，扣除项目工程总金额的1％作为罚款。</w:t>
      </w:r>
    </w:p>
    <w:p>
      <w:pPr>
        <w:tabs>
          <w:tab w:val="left" w:pos="630"/>
        </w:tabs>
        <w:rPr>
          <w:sz w:val="30"/>
          <w:szCs w:val="30"/>
        </w:rPr>
      </w:pPr>
      <w:r>
        <w:rPr>
          <w:sz w:val="30"/>
          <w:szCs w:val="30"/>
        </w:rPr>
        <w:tab/>
      </w:r>
      <w:r>
        <w:rPr>
          <w:rFonts w:hint="eastAsia"/>
          <w:sz w:val="30"/>
          <w:szCs w:val="30"/>
        </w:rPr>
        <w:t>2.6、质量保证金：以项目工程总金额的3</w:t>
      </w:r>
      <w:r>
        <w:rPr>
          <w:rFonts w:hint="eastAsia" w:ascii="宋体" w:hAnsi="宋体" w:eastAsia="宋体"/>
          <w:sz w:val="30"/>
          <w:szCs w:val="30"/>
        </w:rPr>
        <w:t>％作为质量保证金，</w:t>
      </w:r>
    </w:p>
    <w:p>
      <w:pPr>
        <w:tabs>
          <w:tab w:val="left" w:pos="630"/>
        </w:tabs>
        <w:rPr>
          <w:sz w:val="30"/>
          <w:szCs w:val="30"/>
        </w:rPr>
      </w:pPr>
      <w:r>
        <w:rPr>
          <w:sz w:val="30"/>
          <w:szCs w:val="30"/>
        </w:rPr>
        <w:tab/>
      </w:r>
      <w:r>
        <w:rPr>
          <w:rFonts w:hint="eastAsia"/>
          <w:sz w:val="30"/>
          <w:szCs w:val="30"/>
        </w:rPr>
        <w:t>2.7、工程预算价不得高于667552.05元。</w:t>
      </w:r>
    </w:p>
    <w:p>
      <w:pPr>
        <w:rPr>
          <w:sz w:val="30"/>
          <w:szCs w:val="30"/>
        </w:rPr>
      </w:pPr>
    </w:p>
    <w:p>
      <w:pPr>
        <w:rPr>
          <w:sz w:val="30"/>
          <w:szCs w:val="30"/>
        </w:rPr>
      </w:pPr>
    </w:p>
    <w:p>
      <w:pPr>
        <w:rPr>
          <w:sz w:val="30"/>
          <w:szCs w:val="30"/>
        </w:rPr>
      </w:pPr>
    </w:p>
    <w:p>
      <w:pPr>
        <w:tabs>
          <w:tab w:val="left" w:pos="4710"/>
        </w:tabs>
        <w:rPr>
          <w:sz w:val="30"/>
          <w:szCs w:val="30"/>
        </w:rPr>
      </w:pPr>
      <w:r>
        <w:rPr>
          <w:sz w:val="30"/>
          <w:szCs w:val="30"/>
        </w:rPr>
        <w:tab/>
      </w:r>
      <w:r>
        <w:rPr>
          <w:rFonts w:hint="eastAsia"/>
          <w:sz w:val="30"/>
          <w:szCs w:val="30"/>
        </w:rPr>
        <w:t>湛江中心人民医院</w:t>
      </w:r>
    </w:p>
    <w:p>
      <w:pPr>
        <w:tabs>
          <w:tab w:val="left" w:pos="5160"/>
        </w:tabs>
        <w:rPr>
          <w:sz w:val="30"/>
          <w:szCs w:val="30"/>
        </w:rPr>
      </w:pPr>
      <w:r>
        <w:rPr>
          <w:sz w:val="30"/>
          <w:szCs w:val="30"/>
        </w:rPr>
        <w:tab/>
      </w:r>
      <w:r>
        <w:rPr>
          <w:rFonts w:hint="eastAsia"/>
          <w:sz w:val="30"/>
          <w:szCs w:val="30"/>
        </w:rPr>
        <w:t>工程动力科</w:t>
      </w:r>
    </w:p>
    <w:p>
      <w:pPr>
        <w:rPr>
          <w:sz w:val="30"/>
          <w:szCs w:val="30"/>
        </w:rPr>
      </w:pPr>
      <w:r>
        <w:rPr>
          <w:rFonts w:hint="eastAsia"/>
          <w:sz w:val="30"/>
          <w:szCs w:val="30"/>
        </w:rPr>
        <w:t xml:space="preserve">                                 2020年11月2日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0903"/>
    <w:rsid w:val="00011235"/>
    <w:rsid w:val="00013658"/>
    <w:rsid w:val="001B3D95"/>
    <w:rsid w:val="00206C96"/>
    <w:rsid w:val="002245F5"/>
    <w:rsid w:val="002D16D8"/>
    <w:rsid w:val="00360206"/>
    <w:rsid w:val="003A4D99"/>
    <w:rsid w:val="003B71D8"/>
    <w:rsid w:val="003E0FD0"/>
    <w:rsid w:val="004C66E5"/>
    <w:rsid w:val="004F7E08"/>
    <w:rsid w:val="005221C3"/>
    <w:rsid w:val="00561052"/>
    <w:rsid w:val="0060760C"/>
    <w:rsid w:val="006B164E"/>
    <w:rsid w:val="00720C26"/>
    <w:rsid w:val="007D082E"/>
    <w:rsid w:val="007F62B6"/>
    <w:rsid w:val="00897A9C"/>
    <w:rsid w:val="008B2CF6"/>
    <w:rsid w:val="00900903"/>
    <w:rsid w:val="009A01CF"/>
    <w:rsid w:val="009A1B34"/>
    <w:rsid w:val="009E4874"/>
    <w:rsid w:val="00A27206"/>
    <w:rsid w:val="00A272DA"/>
    <w:rsid w:val="00A56128"/>
    <w:rsid w:val="00A75601"/>
    <w:rsid w:val="00A95AF8"/>
    <w:rsid w:val="00AF4D8B"/>
    <w:rsid w:val="00B4101B"/>
    <w:rsid w:val="00B44995"/>
    <w:rsid w:val="00B77185"/>
    <w:rsid w:val="00B87F3D"/>
    <w:rsid w:val="00B94F4A"/>
    <w:rsid w:val="00BD1D87"/>
    <w:rsid w:val="00C62241"/>
    <w:rsid w:val="00CE176E"/>
    <w:rsid w:val="00CF1ABB"/>
    <w:rsid w:val="00DB4C24"/>
    <w:rsid w:val="00E36A92"/>
    <w:rsid w:val="00EE2996"/>
    <w:rsid w:val="00EF30DE"/>
    <w:rsid w:val="00F0646C"/>
    <w:rsid w:val="00FE320D"/>
    <w:rsid w:val="0D9C686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uiPriority w:val="99"/>
    <w:pPr>
      <w:tabs>
        <w:tab w:val="center" w:pos="4153"/>
        <w:tab w:val="right" w:pos="8306"/>
      </w:tabs>
      <w:snapToGrid w:val="0"/>
      <w:jc w:val="left"/>
    </w:pPr>
    <w:rPr>
      <w:sz w:val="18"/>
      <w:szCs w:val="18"/>
    </w:rPr>
  </w:style>
  <w:style w:type="paragraph" w:styleId="3">
    <w:name w:val="header"/>
    <w:basedOn w:val="1"/>
    <w:link w:val="6"/>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uiPriority w:val="99"/>
    <w:rPr>
      <w:sz w:val="18"/>
      <w:szCs w:val="18"/>
    </w:rPr>
  </w:style>
  <w:style w:type="character" w:customStyle="1" w:styleId="7">
    <w:name w:val="页脚 Char"/>
    <w:basedOn w:val="5"/>
    <w:link w:val="2"/>
    <w:semiHidden/>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227</Words>
  <Characters>1294</Characters>
  <Lines>10</Lines>
  <Paragraphs>3</Paragraphs>
  <TotalTime>20</TotalTime>
  <ScaleCrop>false</ScaleCrop>
  <LinksUpToDate>false</LinksUpToDate>
  <CharactersWithSpaces>1518</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2020-11-02T10:17:00Z</dcterms:created>
  <dc:creator>丁边阅</dc:creator>
  <cp:lastModifiedBy>王倩</cp:lastModifiedBy>
  <dcterms:modified xsi:type="dcterms:W3CDTF">2020-11-20T09:22:45Z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