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
        <w:bidi w:val="0"/>
        <w:jc w:val="center"/>
        <w:rPr>
          <w:rFonts w:hint="eastAsia"/>
          <w:lang w:eastAsia="zh-CN"/>
        </w:rPr>
      </w:pPr>
      <w:r>
        <w:rPr>
          <w:rFonts w:hint="eastAsia"/>
          <w:lang w:eastAsia="zh-CN"/>
        </w:rPr>
        <w:t>关于羽毛球场地改造需求</w:t>
      </w:r>
    </w:p>
    <w:p>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宋体" w:hAnsi="宋体"/>
          <w:sz w:val="32"/>
          <w:szCs w:val="32"/>
          <w:lang w:val="en-US" w:eastAsia="zh-CN"/>
        </w:rPr>
      </w:pPr>
      <w:r>
        <w:rPr>
          <w:rFonts w:hint="eastAsia" w:ascii="宋体" w:hAnsi="宋体"/>
          <w:sz w:val="32"/>
          <w:szCs w:val="32"/>
          <w:lang w:eastAsia="zh-CN"/>
        </w:rPr>
        <w:t>为丰富职工文体生活，为职工提供良好的活动场所，拟在</w:t>
      </w:r>
      <w:r>
        <w:rPr>
          <w:rFonts w:hint="eastAsia" w:ascii="宋体" w:hAnsi="宋体"/>
          <w:sz w:val="32"/>
          <w:szCs w:val="32"/>
          <w:lang w:val="en-US" w:eastAsia="zh-CN"/>
        </w:rPr>
        <w:t>11号行政楼二楼二号会议厅，在原有木地板基础上，铺设PVC羽毛球及乒乓球场，</w:t>
      </w:r>
    </w:p>
    <w:p>
      <w:pPr>
        <w:keepNext w:val="0"/>
        <w:keepLines w:val="0"/>
        <w:pageBreakBefore w:val="0"/>
        <w:widowControl w:val="0"/>
        <w:kinsoku/>
        <w:wordWrap/>
        <w:overflowPunct/>
        <w:topLinePunct w:val="0"/>
        <w:autoSpaceDE/>
        <w:autoSpaceDN/>
        <w:bidi w:val="0"/>
        <w:adjustRightInd/>
        <w:snapToGrid/>
        <w:spacing w:line="400" w:lineRule="exact"/>
        <w:ind w:firstLine="640" w:firstLineChars="200"/>
        <w:textAlignment w:val="auto"/>
        <w:rPr>
          <w:rFonts w:hint="eastAsia" w:ascii="宋体" w:hAnsi="宋体"/>
          <w:sz w:val="32"/>
          <w:szCs w:val="32"/>
          <w:lang w:val="en-US" w:eastAsia="zh-CN"/>
        </w:rPr>
      </w:pPr>
      <w:r>
        <w:rPr>
          <w:rFonts w:hint="eastAsia" w:ascii="宋体" w:hAnsi="宋体"/>
          <w:sz w:val="32"/>
          <w:szCs w:val="32"/>
          <w:lang w:val="en-US" w:eastAsia="zh-CN"/>
        </w:rPr>
        <w:t>1.原地板绅缩缝拆除并修补</w:t>
      </w:r>
    </w:p>
    <w:p>
      <w:pPr>
        <w:keepNext w:val="0"/>
        <w:keepLines w:val="0"/>
        <w:pageBreakBefore w:val="0"/>
        <w:widowControl w:val="0"/>
        <w:numPr>
          <w:numId w:val="0"/>
        </w:numPr>
        <w:kinsoku/>
        <w:wordWrap/>
        <w:overflowPunct/>
        <w:topLinePunct w:val="0"/>
        <w:autoSpaceDE/>
        <w:autoSpaceDN/>
        <w:bidi w:val="0"/>
        <w:adjustRightInd/>
        <w:snapToGrid/>
        <w:spacing w:line="400" w:lineRule="exact"/>
        <w:ind w:firstLine="640" w:firstLineChars="200"/>
        <w:textAlignment w:val="auto"/>
        <w:rPr>
          <w:rFonts w:hint="eastAsia" w:ascii="宋体" w:hAnsi="宋体"/>
          <w:sz w:val="32"/>
          <w:szCs w:val="32"/>
          <w:lang w:val="en-US" w:eastAsia="zh-CN"/>
        </w:rPr>
      </w:pPr>
      <w:r>
        <w:rPr>
          <w:rFonts w:hint="eastAsia" w:ascii="宋体" w:hAnsi="宋体"/>
          <w:sz w:val="32"/>
          <w:szCs w:val="32"/>
          <w:lang w:val="en-US" w:eastAsia="zh-CN"/>
        </w:rPr>
        <w:t>2.羽毛球场及乒乓球场PVC铺设项目面积约为942㎡，</w:t>
      </w:r>
      <w:r>
        <w:rPr>
          <w:rFonts w:hint="eastAsia" w:ascii="宋体" w:hAnsi="宋体"/>
          <w:sz w:val="32"/>
          <w:szCs w:val="32"/>
          <w:lang w:eastAsia="zh-CN"/>
        </w:rPr>
        <w:t>整体厚度不低于</w:t>
      </w:r>
      <w:r>
        <w:rPr>
          <w:rFonts w:hint="eastAsia" w:ascii="宋体" w:hAnsi="宋体"/>
          <w:sz w:val="32"/>
          <w:szCs w:val="32"/>
          <w:lang w:val="en-US" w:eastAsia="zh-CN"/>
        </w:rPr>
        <w:t>6mm，包含100%纯PVC分子超强耐磨层、PPT尼龙聚酯纤维网络稳定层、PNS双层玻纤网络防收缩层、高密度双层发泡缓冲层。</w:t>
      </w:r>
    </w:p>
    <w:p>
      <w:pPr>
        <w:keepNext w:val="0"/>
        <w:keepLines w:val="0"/>
        <w:pageBreakBefore w:val="0"/>
        <w:widowControl w:val="0"/>
        <w:numPr>
          <w:numId w:val="0"/>
        </w:numPr>
        <w:kinsoku/>
        <w:wordWrap/>
        <w:overflowPunct/>
        <w:topLinePunct w:val="0"/>
        <w:autoSpaceDE/>
        <w:autoSpaceDN/>
        <w:bidi w:val="0"/>
        <w:adjustRightInd/>
        <w:snapToGrid/>
        <w:spacing w:line="400" w:lineRule="exact"/>
        <w:ind w:firstLine="640" w:firstLineChars="200"/>
        <w:textAlignment w:val="auto"/>
        <w:rPr>
          <w:rFonts w:hint="eastAsia" w:ascii="宋体" w:hAnsi="宋体"/>
          <w:sz w:val="32"/>
          <w:szCs w:val="32"/>
          <w:lang w:val="en-US" w:eastAsia="zh-CN"/>
        </w:rPr>
      </w:pPr>
      <w:r>
        <w:rPr>
          <w:rFonts w:hint="eastAsia" w:ascii="宋体" w:hAnsi="宋体"/>
          <w:sz w:val="32"/>
          <w:szCs w:val="32"/>
          <w:lang w:val="en-US" w:eastAsia="zh-CN"/>
        </w:rPr>
        <w:t>3.羽毛球球场画线4个。</w:t>
      </w:r>
    </w:p>
    <w:p>
      <w:pPr>
        <w:keepNext w:val="0"/>
        <w:keepLines w:val="0"/>
        <w:pageBreakBefore w:val="0"/>
        <w:widowControl w:val="0"/>
        <w:numPr>
          <w:numId w:val="0"/>
        </w:numPr>
        <w:kinsoku/>
        <w:wordWrap/>
        <w:overflowPunct/>
        <w:topLinePunct w:val="0"/>
        <w:autoSpaceDE/>
        <w:autoSpaceDN/>
        <w:bidi w:val="0"/>
        <w:adjustRightInd/>
        <w:snapToGrid/>
        <w:spacing w:line="400" w:lineRule="exact"/>
        <w:ind w:firstLine="640" w:firstLineChars="200"/>
        <w:textAlignment w:val="auto"/>
        <w:rPr>
          <w:rFonts w:hint="eastAsia" w:ascii="宋体" w:hAnsi="宋体"/>
          <w:sz w:val="32"/>
          <w:szCs w:val="32"/>
          <w:lang w:val="en-US" w:eastAsia="zh-CN"/>
        </w:rPr>
      </w:pPr>
      <w:r>
        <w:rPr>
          <w:rFonts w:hint="eastAsia" w:ascii="宋体" w:hAnsi="宋体"/>
          <w:sz w:val="32"/>
          <w:szCs w:val="32"/>
          <w:lang w:val="en-US" w:eastAsia="zh-CN"/>
        </w:rPr>
        <w:t>4.以上材料要求对环境无污染，对人体无毒害，色泽鲜艳分明，表面光滑，涂层耐磨耐腐能力高，不易变色。PVC运动地板需出具中国合格评定国家认可委员会检验机构所出具的紫外老化1000h测试报告、出具符合GB4806.6-2016食品级原材料检测报告、出具符合GB18583-2008总挥发性有机物检测报告、出具符合GB18580-2001甲醛释放量检查报。</w:t>
      </w:r>
    </w:p>
    <w:p>
      <w:pPr>
        <w:keepNext w:val="0"/>
        <w:keepLines w:val="0"/>
        <w:pageBreakBefore w:val="0"/>
        <w:widowControl w:val="0"/>
        <w:numPr>
          <w:numId w:val="0"/>
        </w:numPr>
        <w:kinsoku/>
        <w:wordWrap/>
        <w:overflowPunct/>
        <w:topLinePunct w:val="0"/>
        <w:autoSpaceDE/>
        <w:autoSpaceDN/>
        <w:bidi w:val="0"/>
        <w:adjustRightInd/>
        <w:snapToGrid/>
        <w:spacing w:line="400" w:lineRule="exact"/>
        <w:ind w:firstLine="640" w:firstLineChars="200"/>
        <w:textAlignment w:val="auto"/>
        <w:rPr>
          <w:rFonts w:hint="eastAsia" w:ascii="宋体" w:hAnsi="宋体"/>
          <w:sz w:val="32"/>
          <w:szCs w:val="32"/>
          <w:lang w:val="en-US" w:eastAsia="zh-CN"/>
        </w:rPr>
      </w:pPr>
      <w:r>
        <w:rPr>
          <w:rFonts w:hint="eastAsia" w:ascii="宋体" w:hAnsi="宋体"/>
          <w:sz w:val="32"/>
          <w:szCs w:val="32"/>
          <w:lang w:val="en-US" w:eastAsia="zh-CN"/>
        </w:rPr>
        <w:t>5.施工方需要有装饰工程资质。</w:t>
      </w:r>
    </w:p>
    <w:p>
      <w:pPr>
        <w:keepNext w:val="0"/>
        <w:keepLines w:val="0"/>
        <w:pageBreakBefore w:val="0"/>
        <w:widowControl w:val="0"/>
        <w:numPr>
          <w:numId w:val="0"/>
        </w:numPr>
        <w:kinsoku/>
        <w:wordWrap/>
        <w:overflowPunct/>
        <w:topLinePunct w:val="0"/>
        <w:autoSpaceDE/>
        <w:autoSpaceDN/>
        <w:bidi w:val="0"/>
        <w:adjustRightInd/>
        <w:snapToGrid/>
        <w:spacing w:line="400" w:lineRule="exact"/>
        <w:ind w:firstLine="640" w:firstLineChars="200"/>
        <w:textAlignment w:val="auto"/>
        <w:rPr>
          <w:rFonts w:hint="eastAsia" w:ascii="宋体" w:hAnsi="宋体"/>
          <w:sz w:val="32"/>
          <w:szCs w:val="32"/>
          <w:lang w:val="en-US" w:eastAsia="zh-CN"/>
        </w:rPr>
      </w:pPr>
      <w:r>
        <w:rPr>
          <w:rFonts w:hint="eastAsia" w:ascii="宋体" w:hAnsi="宋体"/>
          <w:sz w:val="32"/>
          <w:szCs w:val="32"/>
          <w:lang w:val="en-US" w:eastAsia="zh-CN"/>
        </w:rPr>
        <w:t>6.</w:t>
      </w:r>
      <w:bookmarkStart w:id="0" w:name="_GoBack"/>
      <w:bookmarkEnd w:id="0"/>
      <w:r>
        <w:rPr>
          <w:rFonts w:hint="eastAsia" w:ascii="宋体" w:hAnsi="宋体"/>
          <w:sz w:val="32"/>
          <w:szCs w:val="32"/>
          <w:lang w:val="en-US" w:eastAsia="zh-CN"/>
        </w:rPr>
        <w:t>工程保质期三年。</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r>
        <w:rPr>
          <w:rFonts w:hint="eastAsia" w:ascii="宋体" w:hAnsi="宋体"/>
          <w:sz w:val="32"/>
          <w:szCs w:val="32"/>
          <w:lang w:val="en-US" w:eastAsia="zh-CN"/>
        </w:rPr>
        <w:t xml:space="preserve">                                      工程动力科</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eastAsia" w:ascii="宋体" w:hAnsi="宋体"/>
          <w:sz w:val="32"/>
          <w:szCs w:val="32"/>
          <w:lang w:val="en-US" w:eastAsia="zh-CN"/>
        </w:rPr>
      </w:pP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宋体" w:hAnsi="宋体"/>
          <w:sz w:val="32"/>
          <w:szCs w:val="32"/>
          <w:lang w:val="en-US" w:eastAsia="zh-CN"/>
        </w:rPr>
      </w:pPr>
      <w:r>
        <w:rPr>
          <w:rFonts w:hint="eastAsia" w:ascii="宋体" w:hAnsi="宋体"/>
          <w:sz w:val="32"/>
          <w:szCs w:val="32"/>
          <w:lang w:val="en-US" w:eastAsia="zh-CN"/>
        </w:rPr>
        <w:t xml:space="preserve">                                   2019年12月18日</w:t>
      </w:r>
    </w:p>
    <w:p>
      <w:pPr>
        <w:keepNext w:val="0"/>
        <w:keepLines w:val="0"/>
        <w:pageBreakBefore w:val="0"/>
        <w:widowControl w:val="0"/>
        <w:numPr>
          <w:ilvl w:val="0"/>
          <w:numId w:val="0"/>
        </w:numPr>
        <w:kinsoku/>
        <w:wordWrap/>
        <w:overflowPunct/>
        <w:topLinePunct w:val="0"/>
        <w:autoSpaceDE/>
        <w:autoSpaceDN/>
        <w:bidi w:val="0"/>
        <w:adjustRightInd/>
        <w:snapToGrid/>
        <w:spacing w:line="400" w:lineRule="exact"/>
        <w:textAlignment w:val="auto"/>
        <w:rPr>
          <w:rFonts w:hint="default" w:ascii="宋体" w:hAnsi="宋体"/>
          <w:sz w:val="32"/>
          <w:szCs w:val="32"/>
          <w:lang w:val="en-US" w:eastAsia="zh-CN"/>
        </w:rPr>
      </w:pPr>
      <w:r>
        <w:rPr>
          <w:rFonts w:hint="eastAsia" w:ascii="宋体" w:hAnsi="宋体"/>
          <w:sz w:val="32"/>
          <w:szCs w:val="32"/>
          <w:lang w:val="en-US" w:eastAsia="zh-CN"/>
        </w:rPr>
        <w:t xml:space="preserve">                                   </w:t>
      </w:r>
    </w:p>
    <w:p>
      <w:pPr>
        <w:rPr>
          <w:rFonts w:hint="eastAsia"/>
          <w:lang w:eastAsia="zh-CN"/>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86B55ED"/>
    <w:rsid w:val="18374485"/>
    <w:rsid w:val="2D4D00A5"/>
    <w:rsid w:val="386B55ED"/>
    <w:rsid w:val="488E267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1"/>
    <w:basedOn w:val="1"/>
    <w:next w:val="1"/>
    <w:qFormat/>
    <w:uiPriority w:val="0"/>
    <w:pPr>
      <w:keepNext/>
      <w:keepLines/>
      <w:spacing w:before="340" w:beforeLines="0" w:beforeAutospacing="0" w:after="330" w:afterLines="0" w:afterAutospacing="0" w:line="576" w:lineRule="auto"/>
      <w:outlineLvl w:val="0"/>
    </w:pPr>
    <w:rPr>
      <w:b/>
      <w:kern w:val="44"/>
      <w:sz w:val="44"/>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9</TotalTime>
  <ScaleCrop>false</ScaleCrop>
  <LinksUpToDate>false</LinksUpToDate>
  <CharactersWithSpaces>0</CharactersWithSpaces>
  <Application>WPS Office_11.1.0.9305_F1E327BC-269C-435d-A152-05C5408002CA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2020-01-07T01:57:00Z</dcterms:created>
  <dc:creator>刘新陆</dc:creator>
  <cp:lastModifiedBy>刘新陆</cp:lastModifiedBy>
  <cp:lastPrinted>2020-01-07T03:07:00Z</cp:lastPrinted>
  <dcterms:modified xsi:type="dcterms:W3CDTF">2020-01-07T03:26:56Z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